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8A" w:rsidRPr="00E77BD5" w:rsidRDefault="00176D8A" w:rsidP="004D43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7BD5">
        <w:rPr>
          <w:rFonts w:ascii="Times New Roman" w:hAnsi="Times New Roman" w:cs="Times New Roman"/>
          <w:b/>
          <w:sz w:val="20"/>
          <w:szCs w:val="20"/>
        </w:rPr>
        <w:t>Информация о результатах публичных слушаний</w:t>
      </w:r>
    </w:p>
    <w:p w:rsidR="00C32E87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77BD5">
        <w:rPr>
          <w:rFonts w:ascii="Times New Roman" w:hAnsi="Times New Roman" w:cs="Times New Roman"/>
          <w:b/>
          <w:sz w:val="20"/>
          <w:szCs w:val="20"/>
        </w:rPr>
        <w:t>по</w:t>
      </w:r>
      <w:r w:rsidRPr="00E77BD5">
        <w:rPr>
          <w:rFonts w:ascii="Times New Roman" w:hAnsi="Times New Roman" w:cs="Times New Roman"/>
          <w:b/>
          <w:bCs/>
          <w:sz w:val="20"/>
          <w:szCs w:val="20"/>
        </w:rPr>
        <w:t xml:space="preserve"> проекту решения Собрания депутатов Карталинского муниципального района</w:t>
      </w:r>
    </w:p>
    <w:p w:rsidR="005F55C8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77BD5">
        <w:rPr>
          <w:rFonts w:ascii="Times New Roman" w:hAnsi="Times New Roman" w:cs="Times New Roman"/>
          <w:b/>
          <w:bCs/>
          <w:sz w:val="20"/>
          <w:szCs w:val="20"/>
        </w:rPr>
        <w:t>«Об исполнении бюджета Карталинского муниципального района за 20</w:t>
      </w:r>
      <w:r w:rsidR="004418E6" w:rsidRPr="00E77BD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37C92" w:rsidRPr="00E77BD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56234" w:rsidRPr="00E77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b/>
          <w:bCs/>
          <w:sz w:val="20"/>
          <w:szCs w:val="20"/>
        </w:rPr>
        <w:t>год»</w:t>
      </w:r>
    </w:p>
    <w:p w:rsidR="00C32E87" w:rsidRPr="00E77BD5" w:rsidRDefault="00C32E87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6D8A" w:rsidRPr="00E77BD5" w:rsidRDefault="005F55C8" w:rsidP="004D4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7BD5">
        <w:rPr>
          <w:rFonts w:ascii="Times New Roman" w:eastAsia="Times New Roman" w:hAnsi="Times New Roman" w:cs="Times New Roman"/>
          <w:sz w:val="20"/>
          <w:szCs w:val="20"/>
        </w:rPr>
        <w:t xml:space="preserve">Публичные слушания назначены решением Собрания депутатов Карталинского муниципального района </w:t>
      </w:r>
      <w:r w:rsidR="00737C92" w:rsidRPr="00E77BD5">
        <w:rPr>
          <w:rFonts w:ascii="Times New Roman" w:hAnsi="Times New Roman" w:cs="Times New Roman"/>
          <w:sz w:val="20"/>
          <w:szCs w:val="20"/>
        </w:rPr>
        <w:t>от 30.03.2023 года № 443-Н</w:t>
      </w:r>
      <w:r w:rsidRPr="00E77BD5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E77BD5">
        <w:rPr>
          <w:rFonts w:ascii="Times New Roman" w:eastAsia="Times New Roman" w:hAnsi="Times New Roman" w:cs="Times New Roman"/>
          <w:bCs/>
          <w:sz w:val="20"/>
          <w:szCs w:val="20"/>
        </w:rPr>
        <w:t xml:space="preserve">О назначении и проведении публичных слушаний по проекту решения Собрания депутатов Карталинского муниципального района «Об исполнении бюджета </w:t>
      </w:r>
      <w:r w:rsidRPr="00E77BD5">
        <w:rPr>
          <w:rFonts w:ascii="Times New Roman" w:eastAsia="Times New Roman" w:hAnsi="Times New Roman" w:cs="Times New Roman"/>
          <w:sz w:val="20"/>
          <w:szCs w:val="20"/>
        </w:rPr>
        <w:t>Карталинского муниципального района за 20</w:t>
      </w:r>
      <w:r w:rsidR="004418E6" w:rsidRPr="00E77BD5">
        <w:rPr>
          <w:rFonts w:ascii="Times New Roman" w:eastAsia="Times New Roman" w:hAnsi="Times New Roman" w:cs="Times New Roman"/>
          <w:sz w:val="20"/>
          <w:szCs w:val="20"/>
        </w:rPr>
        <w:t>2</w:t>
      </w:r>
      <w:r w:rsidR="00737C92" w:rsidRPr="00E77BD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77BD5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 w:rsidRPr="00E77BD5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176D8A" w:rsidRPr="00E77BD5">
        <w:rPr>
          <w:rFonts w:ascii="Times New Roman" w:hAnsi="Times New Roman" w:cs="Times New Roman"/>
          <w:sz w:val="20"/>
          <w:szCs w:val="20"/>
        </w:rPr>
        <w:t>.</w:t>
      </w:r>
      <w:r w:rsidR="00532AA1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="00532AA1" w:rsidRPr="00E77BD5">
        <w:rPr>
          <w:rFonts w:ascii="Times New Roman" w:hAnsi="Times New Roman" w:cs="Times New Roman"/>
          <w:bCs/>
          <w:sz w:val="20"/>
          <w:szCs w:val="20"/>
        </w:rPr>
        <w:t>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E77BD5">
        <w:rPr>
          <w:rFonts w:ascii="Times New Roman" w:hAnsi="Times New Roman" w:cs="Times New Roman"/>
          <w:bCs/>
          <w:sz w:val="20"/>
          <w:szCs w:val="20"/>
        </w:rPr>
        <w:t>2</w:t>
      </w:r>
      <w:r w:rsidR="00737C92" w:rsidRPr="00E77BD5">
        <w:rPr>
          <w:rFonts w:ascii="Times New Roman" w:hAnsi="Times New Roman" w:cs="Times New Roman"/>
          <w:bCs/>
          <w:sz w:val="20"/>
          <w:szCs w:val="20"/>
        </w:rPr>
        <w:t>2</w:t>
      </w:r>
      <w:r w:rsidR="00532AA1" w:rsidRPr="00E77BD5">
        <w:rPr>
          <w:rFonts w:ascii="Times New Roman" w:hAnsi="Times New Roman" w:cs="Times New Roman"/>
          <w:bCs/>
          <w:sz w:val="20"/>
          <w:szCs w:val="20"/>
        </w:rPr>
        <w:t xml:space="preserve"> год» опубликован </w:t>
      </w:r>
      <w:r w:rsidR="00256234" w:rsidRPr="00E77BD5">
        <w:rPr>
          <w:rFonts w:ascii="Times New Roman" w:eastAsia="Times New Roman" w:hAnsi="Times New Roman" w:cs="Times New Roman"/>
          <w:bCs/>
          <w:sz w:val="20"/>
          <w:szCs w:val="20"/>
        </w:rPr>
        <w:t xml:space="preserve">в </w:t>
      </w:r>
      <w:r w:rsidR="004418E6" w:rsidRPr="00E77BD5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официальном сетевом издании </w:t>
      </w:r>
      <w:r w:rsidR="004418E6" w:rsidRPr="00E77BD5">
        <w:rPr>
          <w:rFonts w:ascii="Times New Roman" w:eastAsia="Calibri" w:hAnsi="Times New Roman" w:cs="Times New Roman"/>
          <w:sz w:val="20"/>
          <w:szCs w:val="20"/>
        </w:rPr>
        <w:t xml:space="preserve">администрации Карталинского муниципального района в сети Интернет </w:t>
      </w:r>
      <w:r w:rsidR="004418E6" w:rsidRPr="00E77BD5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4418E6" w:rsidRPr="00E77BD5">
          <w:rPr>
            <w:rFonts w:ascii="Times New Roman" w:hAnsi="Times New Roman" w:cs="Times New Roman"/>
            <w:sz w:val="20"/>
            <w:szCs w:val="20"/>
          </w:rPr>
          <w:t>http://www.kartalyraion.ru</w:t>
        </w:r>
      </w:hyperlink>
      <w:r w:rsidR="004418E6" w:rsidRPr="00E77BD5">
        <w:rPr>
          <w:rFonts w:ascii="Times New Roman" w:eastAsia="Calibri" w:hAnsi="Times New Roman" w:cs="Times New Roman"/>
          <w:sz w:val="20"/>
          <w:szCs w:val="20"/>
        </w:rPr>
        <w:t>)</w:t>
      </w:r>
      <w:r w:rsidR="00737C92" w:rsidRPr="00E77BD5">
        <w:rPr>
          <w:rFonts w:ascii="Times New Roman" w:eastAsia="Calibri" w:hAnsi="Times New Roman" w:cs="Times New Roman"/>
          <w:sz w:val="20"/>
          <w:szCs w:val="20"/>
        </w:rPr>
        <w:t xml:space="preserve"> 31.03.2023 года</w:t>
      </w:r>
      <w:r w:rsidR="00737C92" w:rsidRPr="00E77BD5">
        <w:rPr>
          <w:rFonts w:ascii="Times New Roman" w:hAnsi="Times New Roman" w:cs="Times New Roman"/>
          <w:sz w:val="20"/>
          <w:szCs w:val="20"/>
        </w:rPr>
        <w:t>.</w:t>
      </w:r>
    </w:p>
    <w:p w:rsidR="00176D8A" w:rsidRPr="00E77BD5" w:rsidRDefault="00176D8A" w:rsidP="004D43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E77BD5">
        <w:rPr>
          <w:sz w:val="20"/>
          <w:szCs w:val="20"/>
        </w:rPr>
        <w:t xml:space="preserve">Дата, время и место проведения публичных слушаний: </w:t>
      </w:r>
      <w:r w:rsidR="004418E6" w:rsidRPr="00E77BD5">
        <w:rPr>
          <w:sz w:val="20"/>
          <w:szCs w:val="20"/>
        </w:rPr>
        <w:t>2</w:t>
      </w:r>
      <w:r w:rsidR="00737C92" w:rsidRPr="00E77BD5">
        <w:rPr>
          <w:sz w:val="20"/>
          <w:szCs w:val="20"/>
        </w:rPr>
        <w:t>7</w:t>
      </w:r>
      <w:r w:rsidR="004418E6" w:rsidRPr="00E77BD5">
        <w:rPr>
          <w:sz w:val="20"/>
          <w:szCs w:val="20"/>
        </w:rPr>
        <w:t>.04.202</w:t>
      </w:r>
      <w:r w:rsidR="00737C92" w:rsidRPr="00E77BD5">
        <w:rPr>
          <w:sz w:val="20"/>
          <w:szCs w:val="20"/>
        </w:rPr>
        <w:t>3</w:t>
      </w:r>
      <w:r w:rsidRPr="00E77BD5">
        <w:rPr>
          <w:sz w:val="20"/>
          <w:szCs w:val="20"/>
        </w:rPr>
        <w:t xml:space="preserve"> г. в 10.</w:t>
      </w:r>
      <w:r w:rsidR="00256234" w:rsidRPr="00E77BD5">
        <w:rPr>
          <w:sz w:val="20"/>
          <w:szCs w:val="20"/>
        </w:rPr>
        <w:t>3</w:t>
      </w:r>
      <w:r w:rsidRPr="00E77BD5">
        <w:rPr>
          <w:sz w:val="20"/>
          <w:szCs w:val="20"/>
        </w:rPr>
        <w:t>0 ч., администрация</w:t>
      </w:r>
      <w:r w:rsidRPr="00E77BD5">
        <w:rPr>
          <w:bCs/>
          <w:sz w:val="20"/>
          <w:szCs w:val="20"/>
        </w:rPr>
        <w:t xml:space="preserve"> Карталинского муниципального района</w:t>
      </w:r>
      <w:r w:rsidRPr="00E77BD5">
        <w:rPr>
          <w:sz w:val="20"/>
          <w:szCs w:val="20"/>
        </w:rPr>
        <w:t xml:space="preserve">  (г. Карталы,  ул. Ленина, д. 1, зал заседаний).</w:t>
      </w:r>
    </w:p>
    <w:p w:rsidR="005F55C8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Участники публичных слушаний, рассмотрев 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E77BD5">
        <w:rPr>
          <w:rFonts w:ascii="Times New Roman" w:hAnsi="Times New Roman" w:cs="Times New Roman"/>
          <w:sz w:val="20"/>
          <w:szCs w:val="20"/>
        </w:rPr>
        <w:t>2</w:t>
      </w:r>
      <w:r w:rsidR="00737C92" w:rsidRPr="00E77BD5">
        <w:rPr>
          <w:rFonts w:ascii="Times New Roman" w:hAnsi="Times New Roman" w:cs="Times New Roman"/>
          <w:sz w:val="20"/>
          <w:szCs w:val="20"/>
        </w:rPr>
        <w:t>2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год», отметили следующее: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Бюджет Карталинского муниципального района на 2022 год был утвержден в первоначальной редакции решением Собрания депутатов Карталинского муниципального района от 23 декабря 2021года №220 «О бюджете Карталинского муниципального района на 2022год и на плановый период 2023 и 2024годов» (далее – Решение №220):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по доходам в сумме 2016728,50 тыс. рублей (в том числе безвозмездные поступления 1535878,10тыс.рублей);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по расходам в сумме 2016728,5 тыс.рублей. Бюджет принят бездефицитным. В приложениях №№4-7 к Решению №220 утверждены функциональная и ведомственная классификации расходов бюджета на 2022год и на плановый период 2023 и 2024 годов. 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В процессе исполнения районного бюджета в 2022 году в Решение №220 внесено 11 изменений и дополнений: решения Собрания депутатов КМР от 27.01.2022 № 239, от 31.03.2022 № 269, от 28.04.2022 №284, от 26.05.2022 №304, от 30.06.2022 № 311, от 25.08.2022 №323, от 29.09.2022 №343, от  27.10.2022 №360, от 24.11.2022 №371, от 22.12.2022 № 398, от 30.12.2022 №404. Внесенные в течение 2022года изменения в бюджетные назначения были обусловлены в основном необходимостью отражения в доходных и расходных частях районного бюджета средств полученных из других бюджетов, уточнения поступлений в отчетном году собственных доходов, а также распределения остатков средств на счете бюджета на 01.01.2022. В соответствии с требованиями статьи 36 БК РФ указанные решения Собрания депутатов о внесении изменений в Решение №220 опубликованы на официальном сайте Администрации Карталинского муниципального района 03.04.2023года (https://www.kartalyraion.ru).  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В последней редакции (от 30.12.2022 №404) бюджет Карталинского муниципального района на 2022год утвержден: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  <w:lang w:eastAsia="en-US"/>
        </w:rPr>
      </w:pPr>
      <w:r w:rsidRPr="00E77BD5">
        <w:rPr>
          <w:rFonts w:ascii="Times New Roman" w:hAnsi="Times New Roman" w:cs="Times New Roman"/>
          <w:sz w:val="20"/>
          <w:szCs w:val="20"/>
        </w:rPr>
        <w:t>- по доходам 2282358,68 тыс.рублей;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по расходам 2432296,64 тыс.рублей.</w:t>
      </w:r>
    </w:p>
    <w:p w:rsidR="00532AA1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Дефицит бюджета (превышение расходов над доходами) составил 149937,96 тыс. рублей.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Согласно требованиям пункта 3 статьи 92.1 БК РФ для муниципального образования, в отношении которого осуществляются меры, предусмотренные </w:t>
      </w:r>
      <w:hyperlink r:id="rId8" w:history="1">
        <w:r w:rsidRPr="00E77BD5">
          <w:rPr>
            <w:rFonts w:ascii="Times New Roman" w:hAnsi="Times New Roman" w:cs="Times New Roman"/>
            <w:sz w:val="20"/>
            <w:szCs w:val="20"/>
          </w:rPr>
          <w:t>пунктом 4 статьи 136</w:t>
        </w:r>
      </w:hyperlink>
      <w:r w:rsidRPr="00E77BD5">
        <w:rPr>
          <w:rFonts w:ascii="Times New Roman" w:hAnsi="Times New Roman" w:cs="Times New Roman"/>
          <w:sz w:val="20"/>
          <w:szCs w:val="20"/>
        </w:rPr>
        <w:t xml:space="preserve"> БК 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Предельный объем дефицита может превысить установленные ограничения в пределах суммы снижения остатков средств на счетах местного бюджета. Источником внутреннего финансирования дефицита бюджета (149937,96 тыс. рублей) определены изменения остатков средств на счетах по учету средств бюджета,  о</w:t>
      </w:r>
      <w:r w:rsidRPr="00E77BD5">
        <w:rPr>
          <w:rFonts w:ascii="Times New Roman" w:hAnsi="Times New Roman" w:cs="Times New Roman"/>
          <w:sz w:val="20"/>
          <w:szCs w:val="20"/>
          <w:lang w:eastAsia="ar-SA"/>
        </w:rPr>
        <w:t xml:space="preserve">статок собственных средств на едином счете местного бюджета на 01.01.2022 составлял </w:t>
      </w:r>
      <w:r w:rsidRPr="00E77BD5">
        <w:rPr>
          <w:rFonts w:ascii="Times New Roman" w:hAnsi="Times New Roman" w:cs="Times New Roman"/>
          <w:sz w:val="20"/>
          <w:szCs w:val="20"/>
        </w:rPr>
        <w:t>175890,54тыс.рублей</w:t>
      </w:r>
      <w:r w:rsidRPr="00E77BD5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Pr="00E77BD5">
        <w:rPr>
          <w:rFonts w:ascii="Times New Roman" w:hAnsi="Times New Roman" w:cs="Times New Roman"/>
          <w:sz w:val="20"/>
          <w:szCs w:val="20"/>
        </w:rPr>
        <w:t>При исполнении бюджета соблюдено требование ст.92.1 БК РФ.</w:t>
      </w:r>
    </w:p>
    <w:p w:rsidR="000F43F8" w:rsidRPr="00E77BD5" w:rsidRDefault="00272589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</w:t>
      </w:r>
      <w:r w:rsidR="000F43F8" w:rsidRPr="00E77BD5">
        <w:rPr>
          <w:rFonts w:ascii="Times New Roman" w:hAnsi="Times New Roman" w:cs="Times New Roman"/>
          <w:sz w:val="20"/>
          <w:szCs w:val="20"/>
        </w:rPr>
        <w:t>В соответствии с положениями статьи 217 БК РФ бюджетные назначения, утвержденные Решением Собрания депутатов, были уточнены без изменения в Решение №220. Основные характеристики бюджета на 2022год составили: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по доходам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2282358,68тыс.рублей;</w:t>
      </w:r>
    </w:p>
    <w:p w:rsidR="000F43F8" w:rsidRPr="00E77BD5" w:rsidRDefault="000F43F8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по расходам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2403011,54тыс.рублей.</w:t>
      </w:r>
    </w:p>
    <w:p w:rsidR="000F43F8" w:rsidRPr="00E77BD5" w:rsidRDefault="000F43F8" w:rsidP="00E77B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Основные параметры районного бюджета на 2022 год, их исполнение представлены в таблице 1                                                                                                                                                                                                                               Таблица 1 </w:t>
      </w:r>
    </w:p>
    <w:p w:rsidR="000F43F8" w:rsidRPr="00E77BD5" w:rsidRDefault="000F43F8" w:rsidP="000F43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(тыс. 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701"/>
        <w:gridCol w:w="1418"/>
        <w:gridCol w:w="1276"/>
        <w:gridCol w:w="1134"/>
        <w:gridCol w:w="1417"/>
      </w:tblGrid>
      <w:tr w:rsidR="000F43F8" w:rsidRPr="00E77BD5" w:rsidTr="000F43F8">
        <w:trPr>
          <w:trHeight w:val="2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Наименование показателя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Утверждено решением о бюджете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Уточненный план (форма 0503117)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Исполнено (форма 0503117)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Отклонение исполнения от уточненного плана </w:t>
            </w:r>
          </w:p>
          <w:p w:rsidR="000F43F8" w:rsidRPr="00E77BD5" w:rsidRDefault="000F43F8" w:rsidP="000F4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гр.5-гр.4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исполнение </w:t>
            </w:r>
          </w:p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гр.5/гр.4 (в %)</w:t>
            </w:r>
          </w:p>
        </w:tc>
      </w:tr>
      <w:tr w:rsidR="000F43F8" w:rsidRPr="00E77BD5" w:rsidTr="000F43F8">
        <w:trPr>
          <w:trHeight w:val="2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 первонач.</w:t>
            </w:r>
          </w:p>
          <w:p w:rsidR="000F43F8" w:rsidRPr="00E77BD5" w:rsidRDefault="000F43F8" w:rsidP="000F43F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редакции решение от  23.12.2021</w:t>
            </w:r>
          </w:p>
          <w:p w:rsidR="000F43F8" w:rsidRPr="00E77BD5" w:rsidRDefault="000F43F8" w:rsidP="000F43F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№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решение от 23.12.2021 №220 (в редакции от  30.12.2022 № 404)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43F8" w:rsidRPr="00E77BD5" w:rsidTr="000F43F8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0F43F8" w:rsidRPr="00E77BD5" w:rsidTr="000F43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2016728,50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2282358,68 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2282358,68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2259587,51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-22771,17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99,0</w:t>
            </w:r>
          </w:p>
        </w:tc>
      </w:tr>
      <w:tr w:rsidR="000F43F8" w:rsidRPr="00E77BD5" w:rsidTr="000F43F8">
        <w:trPr>
          <w:trHeight w:val="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расходы </w:t>
            </w:r>
          </w:p>
          <w:p w:rsidR="000F43F8" w:rsidRPr="00E77BD5" w:rsidRDefault="000F43F8" w:rsidP="000F4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2016728,50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2432296,64 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2403011,54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2317135,55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-85875,99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96,4</w:t>
            </w:r>
          </w:p>
        </w:tc>
      </w:tr>
      <w:tr w:rsidR="000F43F8" w:rsidRPr="00E77BD5" w:rsidTr="000F43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F8" w:rsidRPr="00E77BD5" w:rsidRDefault="000F43F8" w:rsidP="000F4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Дефицит (-);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(-) 149937,96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(-) 120652,86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(-) 57548,04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F8" w:rsidRPr="00E77BD5" w:rsidRDefault="000F43F8" w:rsidP="000F4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С учетом внесенных изменений в сводную бюджетную роспись (на 31.12.2022) уточненные бюджетные назначения по доходам составили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2282358,68</w:t>
      </w:r>
      <w:r w:rsidRPr="00E77BD5">
        <w:rPr>
          <w:rFonts w:ascii="Times New Roman" w:hAnsi="Times New Roman" w:cs="Times New Roman"/>
          <w:sz w:val="20"/>
          <w:szCs w:val="20"/>
        </w:rPr>
        <w:t xml:space="preserve">тыс.рублей и  по расходам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2403011,54</w:t>
      </w:r>
      <w:r w:rsidRPr="00E77BD5">
        <w:rPr>
          <w:rFonts w:ascii="Times New Roman" w:hAnsi="Times New Roman" w:cs="Times New Roman"/>
          <w:sz w:val="20"/>
          <w:szCs w:val="20"/>
        </w:rPr>
        <w:t xml:space="preserve">тыс. рублей.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lastRenderedPageBreak/>
        <w:t xml:space="preserve">     Лимиты бюджетных обязательств на 31.12.2022 доведены в размере 2396437,20тыс.рублей. С учетом внесенных изменений в показатели сводной бюджетной росписи уточнены кассовые планы по доходам и расходам районного бюджета.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Руководствуясь статьей 217.1 БК РФ, статьей 33 Положения о бюджетном процессе и Порядком составления и ведения кассового плана, утвержденным приказом Финансового управления от 28.12.2011 №104, в целях прогнозирования поступлений в районный бюджет и перечислений из районного бюджета составлен кассовый план на 2022 год с помесячной детализацией. Кассовый план по расходам на 01.01.2022года и на 31.12.2022года составлен в объеме утвержденных Решением №220 ассигнований 2016728,50тыс.рублей и 2432296,64 тыс.рублей соответственно.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Согласно Отчету об исполнении бюджета на 01.01.2023 (ф. 0503117) доходы районного бюджета исполнены в сумме 2259587,51тыс.рублей или  99,0 процентов от утвержденных назначений, расходы районного бюджета исполнены в объеме 2317135,55 тыс. рублей или 96,4процентов от утвержденных назначений. Фактически районный бюджет исполнен с дефицитом</w:t>
      </w:r>
      <w:r w:rsidRPr="00E77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 xml:space="preserve">в сумме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57548,04</w:t>
      </w:r>
      <w:r w:rsidRPr="00E77BD5">
        <w:rPr>
          <w:rFonts w:ascii="Times New Roman" w:hAnsi="Times New Roman" w:cs="Times New Roman"/>
          <w:sz w:val="20"/>
          <w:szCs w:val="20"/>
        </w:rPr>
        <w:t>тыс. рублей (2259587,51-2317135,55).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  <w:lang w:eastAsia="ar-SA"/>
        </w:rPr>
        <w:t xml:space="preserve">      </w:t>
      </w:r>
      <w:r w:rsidRPr="00E77BD5">
        <w:rPr>
          <w:rFonts w:ascii="Times New Roman" w:hAnsi="Times New Roman" w:cs="Times New Roman"/>
          <w:sz w:val="20"/>
          <w:szCs w:val="20"/>
        </w:rPr>
        <w:t xml:space="preserve">   Согласно Балансу (ф.0503120) остаток средств на едином счете местного бюджета на 01.01.2023года составил 118342,5тыс.рублей.</w:t>
      </w:r>
      <w:r w:rsidRPr="00E77B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7189" w:rsidRPr="00E77BD5" w:rsidRDefault="00007189" w:rsidP="004D4396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/>
          <w:sz w:val="20"/>
          <w:szCs w:val="20"/>
        </w:rPr>
        <w:t>Доходы бюджета</w:t>
      </w:r>
    </w:p>
    <w:p w:rsidR="00650C7D" w:rsidRPr="00E77BD5" w:rsidRDefault="00650C7D" w:rsidP="00650C7D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Исполнение бюджетных назначений по доходам бюджета Карталинского муниципального района за 2022год составило 2259587,5тыс.рублей или  99,0 процентов от утвержденных назначений (2282358,6тыс.рублей). </w:t>
      </w:r>
    </w:p>
    <w:p w:rsidR="00650C7D" w:rsidRPr="00E77BD5" w:rsidRDefault="00650C7D" w:rsidP="00650C7D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Главные администраторы доходов бюджета Карталинского муниципального района утверждены по распоряжению администрации Карталинского муниципального района от 18.11.2021 № 726-р.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Выполнение плановых показателей доходов бюджета района в 2022году, их структура представлены в таблице 2.</w:t>
      </w:r>
    </w:p>
    <w:p w:rsidR="00650C7D" w:rsidRPr="00E77BD5" w:rsidRDefault="00650C7D" w:rsidP="00650C7D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Таблица 2 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(тыс. рублей)</w:t>
      </w:r>
    </w:p>
    <w:tbl>
      <w:tblPr>
        <w:tblW w:w="92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8"/>
        <w:gridCol w:w="1080"/>
        <w:gridCol w:w="1080"/>
        <w:gridCol w:w="1242"/>
        <w:gridCol w:w="1469"/>
      </w:tblGrid>
      <w:tr w:rsidR="00650C7D" w:rsidRPr="00E77BD5" w:rsidTr="006E58BA">
        <w:trPr>
          <w:trHeight w:val="58"/>
        </w:trPr>
        <w:tc>
          <w:tcPr>
            <w:tcW w:w="4408" w:type="dxa"/>
            <w:vMerge w:val="restart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исполнено</w:t>
            </w:r>
          </w:p>
        </w:tc>
      </w:tr>
      <w:tr w:rsidR="00650C7D" w:rsidRPr="00E77BD5" w:rsidTr="006E58BA">
        <w:trPr>
          <w:trHeight w:val="58"/>
        </w:trPr>
        <w:tc>
          <w:tcPr>
            <w:tcW w:w="4408" w:type="dxa"/>
            <w:vMerge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удельный вес в общих доходах (в процентах)</w:t>
            </w:r>
          </w:p>
        </w:tc>
      </w:tr>
      <w:tr w:rsidR="00650C7D" w:rsidRPr="00E77BD5" w:rsidTr="006E58BA">
        <w:trPr>
          <w:trHeight w:val="58"/>
        </w:trPr>
        <w:tc>
          <w:tcPr>
            <w:tcW w:w="4408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2282358,6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2259587,5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650C7D" w:rsidRPr="00E77BD5" w:rsidTr="006E58BA">
        <w:trPr>
          <w:trHeight w:val="58"/>
        </w:trPr>
        <w:tc>
          <w:tcPr>
            <w:tcW w:w="4408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509304,7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571232,2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112,2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25,3</w:t>
            </w:r>
          </w:p>
        </w:tc>
      </w:tr>
      <w:tr w:rsidR="00650C7D" w:rsidRPr="00E77BD5" w:rsidTr="006E58BA">
        <w:trPr>
          <w:trHeight w:val="216"/>
        </w:trPr>
        <w:tc>
          <w:tcPr>
            <w:tcW w:w="4408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080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470943,9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525922,4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650C7D" w:rsidRPr="00E77BD5" w:rsidTr="006E58BA">
        <w:trPr>
          <w:trHeight w:val="175"/>
        </w:trPr>
        <w:tc>
          <w:tcPr>
            <w:tcW w:w="4408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080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 xml:space="preserve"> 38360,8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45309,8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650C7D" w:rsidRPr="00E77BD5" w:rsidTr="006E58BA">
        <w:trPr>
          <w:trHeight w:val="60"/>
        </w:trPr>
        <w:tc>
          <w:tcPr>
            <w:tcW w:w="4408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1773053,9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1688355,3*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95,2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74,7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*с учетом возврата остатков  прошлых лет   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 Динамика исполнения доходов бюджета за 2021-2022годы приведена в таблице 3.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Таблица 3                                        (тыс.рублей)                                                                                                        </w:t>
      </w: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17"/>
        <w:gridCol w:w="1276"/>
        <w:gridCol w:w="1559"/>
        <w:gridCol w:w="992"/>
        <w:gridCol w:w="992"/>
      </w:tblGrid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261" w:type="dxa"/>
            <w:vMerge w:val="restart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доходной части бюджета</w:t>
            </w:r>
          </w:p>
        </w:tc>
        <w:tc>
          <w:tcPr>
            <w:tcW w:w="1559" w:type="dxa"/>
            <w:vMerge w:val="restart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в 2022году к 2021 году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(в процентах)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(гр.4:гр.3)</w:t>
            </w:r>
          </w:p>
        </w:tc>
        <w:tc>
          <w:tcPr>
            <w:tcW w:w="1984" w:type="dxa"/>
            <w:gridSpan w:val="2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Структура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  (в процентах)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261" w:type="dxa"/>
            <w:vMerge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2021год</w:t>
            </w:r>
          </w:p>
        </w:tc>
        <w:tc>
          <w:tcPr>
            <w:tcW w:w="1276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2022год</w:t>
            </w:r>
          </w:p>
        </w:tc>
        <w:tc>
          <w:tcPr>
            <w:tcW w:w="1559" w:type="dxa"/>
            <w:vMerge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2021год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2022год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61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1971250,2</w:t>
            </w:r>
          </w:p>
        </w:tc>
        <w:tc>
          <w:tcPr>
            <w:tcW w:w="1276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2259587,5</w:t>
            </w:r>
          </w:p>
        </w:tc>
        <w:tc>
          <w:tcPr>
            <w:tcW w:w="1559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114,6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61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1417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469261,7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571232,2</w:t>
            </w:r>
          </w:p>
        </w:tc>
        <w:tc>
          <w:tcPr>
            <w:tcW w:w="1559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121,7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61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426098,8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525922,4</w:t>
            </w:r>
          </w:p>
        </w:tc>
        <w:tc>
          <w:tcPr>
            <w:tcW w:w="1559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61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43162,9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45309,8</w:t>
            </w:r>
          </w:p>
        </w:tc>
        <w:tc>
          <w:tcPr>
            <w:tcW w:w="1559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 xml:space="preserve">  2,2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 xml:space="preserve"> 2,0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61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1501988,5*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1688355,3*</w:t>
            </w:r>
          </w:p>
        </w:tc>
        <w:tc>
          <w:tcPr>
            <w:tcW w:w="1559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*с учетом возврата остатков   прошлых лет  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Общий объем доходов бюджета в 2022 году по отношению к исполнению в предыдущем году  (1971250,2тыс.рублей) увеличился на 14,6процента (на 288337,3тыс.рублей), в том числе:</w:t>
      </w:r>
    </w:p>
    <w:p w:rsidR="00650C7D" w:rsidRPr="00E77BD5" w:rsidRDefault="00650C7D" w:rsidP="00650C7D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поступление налоговых и неналоговых доходов увеличилось на 21,7процентов (на 101970,5тыс.рублей);</w:t>
      </w:r>
    </w:p>
    <w:p w:rsidR="00650C7D" w:rsidRPr="00E77BD5" w:rsidRDefault="00650C7D" w:rsidP="00650C7D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- безвозмездные поступления увеличились на 12,4 процентов (на 186366,8 тыс.рублей). </w:t>
      </w:r>
    </w:p>
    <w:p w:rsidR="00650C7D" w:rsidRPr="00E77BD5" w:rsidRDefault="00650C7D" w:rsidP="00650C7D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Доля налоговых и неналоговых доходов в общей сумме доходов составила 25,3процентов с ростом к предыдущему году в размере 1,5процентов (2 2021году-23,8процентов).</w:t>
      </w:r>
    </w:p>
    <w:p w:rsidR="00650C7D" w:rsidRPr="00E77BD5" w:rsidRDefault="00650C7D" w:rsidP="00650C7D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Объем безвозмездных поступлений в общей сумме доходов составил 74,7процентов со снижением на 1,5процентов к уровню 2021года.</w:t>
      </w:r>
    </w:p>
    <w:p w:rsidR="008B4901" w:rsidRPr="00E77BD5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77BD5">
        <w:rPr>
          <w:rFonts w:ascii="Times New Roman" w:hAnsi="Times New Roman" w:cs="Times New Roman"/>
          <w:b/>
          <w:i/>
          <w:sz w:val="20"/>
          <w:szCs w:val="20"/>
        </w:rPr>
        <w:t xml:space="preserve">Налоговые доходы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Поступление налоговых доходов в 2022году составило 525922,4тыс.рублей или 111,7процентов от плановых показателей (</w:t>
      </w:r>
      <w:r w:rsidRPr="00E77B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470943,9</w:t>
      </w:r>
      <w:r w:rsidRPr="00E77BD5">
        <w:rPr>
          <w:rFonts w:ascii="Times New Roman" w:hAnsi="Times New Roman" w:cs="Times New Roman"/>
          <w:sz w:val="20"/>
          <w:szCs w:val="20"/>
        </w:rPr>
        <w:t xml:space="preserve">тыс.рублей).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Исполнение налоговых доходов районного бюджета за 2022год представлено в таблице 4.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Таблица 4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(тыс.рублей)                                                                                                       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4"/>
        <w:gridCol w:w="1134"/>
        <w:gridCol w:w="1181"/>
        <w:gridCol w:w="1225"/>
        <w:gridCol w:w="1227"/>
        <w:gridCol w:w="1154"/>
      </w:tblGrid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Наименование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показателя 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назначено</w:t>
            </w:r>
          </w:p>
        </w:tc>
        <w:tc>
          <w:tcPr>
            <w:tcW w:w="1134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исполнено</w:t>
            </w:r>
          </w:p>
        </w:tc>
        <w:tc>
          <w:tcPr>
            <w:tcW w:w="1181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Процент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исполнения</w:t>
            </w:r>
          </w:p>
        </w:tc>
        <w:tc>
          <w:tcPr>
            <w:tcW w:w="1225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Отклонение</w:t>
            </w:r>
          </w:p>
          <w:p w:rsidR="00650C7D" w:rsidRPr="00E77BD5" w:rsidRDefault="00650C7D" w:rsidP="00650C7D">
            <w:pPr>
              <w:spacing w:after="0" w:line="240" w:lineRule="auto"/>
              <w:ind w:right="-12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(+,-)</w:t>
            </w:r>
          </w:p>
        </w:tc>
        <w:tc>
          <w:tcPr>
            <w:tcW w:w="1227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Доля исполнения в налоговых доходах в %</w:t>
            </w:r>
          </w:p>
        </w:tc>
        <w:tc>
          <w:tcPr>
            <w:tcW w:w="1154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Доля исполнения в общих доходах в %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381060,3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426798,2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45737,9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19363,5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22344,3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 xml:space="preserve">Налог, взимаемый в связи с </w:t>
            </w:r>
            <w:r w:rsidRPr="00E77B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32639,2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36948,3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4309,1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154,0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313,6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203,6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159,6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2900,0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3104,6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28661,9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29520,2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858,3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6165,0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6893,1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728,1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Прочие налоги и сборы  (по отмененным налогам и сборам)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1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5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27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0C7D" w:rsidRPr="00E77BD5" w:rsidTr="006E58BA">
        <w:tc>
          <w:tcPr>
            <w:tcW w:w="2943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Итого налоговых доходов</w:t>
            </w:r>
          </w:p>
        </w:tc>
        <w:tc>
          <w:tcPr>
            <w:tcW w:w="1044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470943,9</w:t>
            </w:r>
          </w:p>
        </w:tc>
        <w:tc>
          <w:tcPr>
            <w:tcW w:w="1134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525922,4</w:t>
            </w:r>
          </w:p>
        </w:tc>
        <w:tc>
          <w:tcPr>
            <w:tcW w:w="1181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111,7</w:t>
            </w:r>
          </w:p>
        </w:tc>
        <w:tc>
          <w:tcPr>
            <w:tcW w:w="1225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       54978,5</w:t>
            </w:r>
          </w:p>
        </w:tc>
        <w:tc>
          <w:tcPr>
            <w:tcW w:w="1227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1154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650C7D" w:rsidRPr="00E77BD5" w:rsidRDefault="00650C7D" w:rsidP="00650C7D">
      <w:pPr>
        <w:pStyle w:val="af1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E77BD5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          </w:t>
      </w:r>
    </w:p>
    <w:p w:rsidR="00650C7D" w:rsidRPr="00E77BD5" w:rsidRDefault="00650C7D" w:rsidP="00650C7D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Плановые показатели исполнены по всем видам доходов от  103,0процентов по н</w:t>
      </w:r>
      <w:r w:rsidRPr="00E77BD5">
        <w:rPr>
          <w:rFonts w:ascii="Times New Roman" w:hAnsi="Times New Roman"/>
          <w:sz w:val="20"/>
          <w:szCs w:val="20"/>
        </w:rPr>
        <w:t>алогу на добычу полезных ископаемых</w:t>
      </w:r>
      <w:r w:rsidRPr="00E77BD5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до 203,6процентов</w:t>
      </w:r>
      <w:r w:rsidRPr="00E77BD5">
        <w:rPr>
          <w:rFonts w:ascii="Times New Roman" w:hAnsi="Times New Roman"/>
          <w:sz w:val="20"/>
          <w:szCs w:val="20"/>
        </w:rPr>
        <w:t xml:space="preserve"> по единому налогу  на вмененный доход для отдельных видов деятельности.</w:t>
      </w:r>
      <w:r w:rsidRPr="00E77BD5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Основной объем налоговых доходов бюджета  сформирован за счет НДФЛ в сумме </w:t>
      </w:r>
      <w:r w:rsidRPr="00E77BD5">
        <w:rPr>
          <w:rFonts w:ascii="Times New Roman" w:hAnsi="Times New Roman"/>
          <w:sz w:val="20"/>
          <w:szCs w:val="20"/>
        </w:rPr>
        <w:t>426798,2</w:t>
      </w:r>
      <w:r w:rsidRPr="00E77BD5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тыс. рублей, исполнение составило 112,0 процентов от утвержденных бюджетных назначений. Доля исполнения НДФЛ в налоговых доходах</w:t>
      </w:r>
      <w:r w:rsidRPr="00E77BD5">
        <w:rPr>
          <w:rFonts w:ascii="Times New Roman" w:hAnsi="Times New Roman"/>
          <w:sz w:val="20"/>
          <w:szCs w:val="20"/>
        </w:rPr>
        <w:t xml:space="preserve"> составила 81,2процента. Удельный вес других поступлений не значителен.</w:t>
      </w:r>
    </w:p>
    <w:p w:rsidR="00650C7D" w:rsidRPr="00E77BD5" w:rsidRDefault="00650C7D" w:rsidP="00650C7D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Сведения об исполнении бюджетных назначений по поступлению налоговых доходов в бюджет района в 2021-2022годах  представлены в таблице 5.</w:t>
      </w:r>
    </w:p>
    <w:p w:rsidR="00650C7D" w:rsidRPr="00E77BD5" w:rsidRDefault="00650C7D" w:rsidP="00650C7D">
      <w:pPr>
        <w:spacing w:after="0" w:line="240" w:lineRule="auto"/>
        <w:ind w:left="-426" w:right="-144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650C7D" w:rsidRPr="00E77BD5" w:rsidRDefault="00650C7D" w:rsidP="00650C7D">
      <w:pPr>
        <w:spacing w:after="0" w:line="240" w:lineRule="auto"/>
        <w:ind w:left="-426" w:right="-144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Таблица 5</w:t>
      </w:r>
    </w:p>
    <w:p w:rsidR="00650C7D" w:rsidRPr="00E77BD5" w:rsidRDefault="00650C7D" w:rsidP="00650C7D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(тыс. рублей)</w:t>
      </w: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1358"/>
        <w:gridCol w:w="1362"/>
        <w:gridCol w:w="1578"/>
        <w:gridCol w:w="1522"/>
      </w:tblGrid>
      <w:tr w:rsidR="00650C7D" w:rsidRPr="00E77BD5" w:rsidTr="006E58BA">
        <w:tc>
          <w:tcPr>
            <w:tcW w:w="227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5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Отклонение </w:t>
            </w:r>
          </w:p>
        </w:tc>
      </w:tr>
      <w:tr w:rsidR="00650C7D" w:rsidRPr="00E77BD5" w:rsidTr="006E58BA">
        <w:trPr>
          <w:trHeight w:val="585"/>
        </w:trPr>
        <w:tc>
          <w:tcPr>
            <w:tcW w:w="227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2021год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2022год</w:t>
            </w:r>
          </w:p>
        </w:tc>
        <w:tc>
          <w:tcPr>
            <w:tcW w:w="740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(+,-)</w:t>
            </w:r>
          </w:p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(гр.3-гр.2)</w:t>
            </w:r>
          </w:p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процентах</w:t>
            </w:r>
          </w:p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(гр.4:гр.2)</w:t>
            </w:r>
          </w:p>
        </w:tc>
      </w:tr>
      <w:tr w:rsidR="00650C7D" w:rsidRPr="00E77BD5" w:rsidTr="006E58BA">
        <w:trPr>
          <w:trHeight w:val="255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E0E0E0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right w:val="double" w:sz="4" w:space="0" w:color="auto"/>
            </w:tcBorders>
            <w:shd w:val="clear" w:color="auto" w:fill="E0E0E0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50C7D" w:rsidRPr="00E77BD5" w:rsidTr="006E58BA">
        <w:trPr>
          <w:trHeight w:val="232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359148,3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426798,2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67649,9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650C7D" w:rsidRPr="00E77BD5" w:rsidTr="006E58BA">
        <w:trPr>
          <w:trHeight w:val="232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18447,8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22344,3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3896,5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650C7D" w:rsidRPr="00E77BD5" w:rsidTr="006E58BA">
        <w:trPr>
          <w:trHeight w:val="232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28155,1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36948,3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8793,2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650C7D" w:rsidRPr="00E77BD5" w:rsidTr="006E58BA">
        <w:trPr>
          <w:trHeight w:val="412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2014,4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313,6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-1700,8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-84,4</w:t>
            </w:r>
          </w:p>
        </w:tc>
      </w:tr>
      <w:tr w:rsidR="00650C7D" w:rsidRPr="00E77BD5" w:rsidTr="006E58BA">
        <w:trPr>
          <w:trHeight w:val="418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3150,4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3104,6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-45,8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650C7D" w:rsidRPr="00E77BD5" w:rsidTr="006E58BA">
        <w:trPr>
          <w:trHeight w:val="463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9223,7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29520,2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20296,5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</w:tr>
      <w:tr w:rsidR="00650C7D" w:rsidRPr="00E77BD5" w:rsidTr="006E58BA">
        <w:trPr>
          <w:trHeight w:val="328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5959,1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6893,1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934,0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650C7D" w:rsidRPr="00E77BD5" w:rsidTr="006E58BA">
        <w:trPr>
          <w:trHeight w:val="463"/>
        </w:trPr>
        <w:tc>
          <w:tcPr>
            <w:tcW w:w="2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Прочие налоги и сборы  (по отмененным налогам и сборам)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14" w:type="pct"/>
            <w:tcBorders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C7D" w:rsidRPr="00E77BD5" w:rsidTr="006E58BA">
        <w:trPr>
          <w:trHeight w:val="463"/>
        </w:trPr>
        <w:tc>
          <w:tcPr>
            <w:tcW w:w="227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Итого налоговых доходов</w:t>
            </w:r>
          </w:p>
        </w:tc>
        <w:tc>
          <w:tcPr>
            <w:tcW w:w="63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426098,8</w:t>
            </w:r>
          </w:p>
        </w:tc>
        <w:tc>
          <w:tcPr>
            <w:tcW w:w="6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525922,4</w:t>
            </w:r>
          </w:p>
        </w:tc>
        <w:tc>
          <w:tcPr>
            <w:tcW w:w="740" w:type="pct"/>
            <w:tcBorders>
              <w:bottom w:val="double" w:sz="4" w:space="0" w:color="auto"/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99823,6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77BD5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23,4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В 2022году поступило</w:t>
      </w:r>
      <w:r w:rsidRPr="00E77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НДФЛ</w:t>
      </w:r>
      <w:r w:rsidRPr="00E77B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на 67649,9тыс.рублей  или на 18,8 процента больше по сравнению с аналогичным периодом прошлого года (в 2021году-359148,3тыс.рублей), что </w:t>
      </w:r>
      <w:r w:rsidRPr="00E77BD5">
        <w:rPr>
          <w:rFonts w:ascii="Times New Roman" w:hAnsi="Times New Roman" w:cs="Times New Roman"/>
          <w:color w:val="000000"/>
          <w:sz w:val="20"/>
          <w:szCs w:val="20"/>
        </w:rPr>
        <w:t>объясняется ростом фонда оплаты труда и ростом дополнительного норматива на 3,8 процентов, который составил</w:t>
      </w:r>
      <w:r w:rsidRPr="00E77BD5">
        <w:rPr>
          <w:rFonts w:ascii="Times New Roman" w:hAnsi="Times New Roman" w:cs="Times New Roman"/>
          <w:sz w:val="20"/>
          <w:szCs w:val="20"/>
        </w:rPr>
        <w:t xml:space="preserve">  в 2022году 58,42</w:t>
      </w:r>
      <w:r w:rsidRPr="00E77B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процента</w:t>
      </w:r>
      <w:r w:rsidRPr="00E77BD5">
        <w:rPr>
          <w:rFonts w:ascii="Times New Roman" w:hAnsi="Times New Roman" w:cs="Times New Roman"/>
          <w:sz w:val="20"/>
          <w:szCs w:val="20"/>
        </w:rPr>
        <w:t xml:space="preserve"> (2021году – 54,62</w:t>
      </w:r>
      <w:r w:rsidRPr="00E77B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процента</w:t>
      </w:r>
      <w:r w:rsidRPr="00E77BD5">
        <w:rPr>
          <w:rFonts w:ascii="Times New Roman" w:hAnsi="Times New Roman" w:cs="Times New Roman"/>
          <w:sz w:val="20"/>
          <w:szCs w:val="20"/>
        </w:rPr>
        <w:t>).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По</w:t>
      </w:r>
      <w:r w:rsidRPr="00E77B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данным Информационного массива Межрайонной инспекции Федеральной налоговой службы №19 по Челябинской области на 01.01.2023года сумма недоимки  по налоговым платежам в бюджет Карталинского муниципального района составила 8908,7тыс.рублей, увеличилась в сравнении с аналогичным периодом прошлого года на 68,0процентов или на 3606,1тыс.рублей (на 01.01.2022-5302,6тыс.рублей):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E77BD5">
        <w:rPr>
          <w:rFonts w:ascii="Times New Roman" w:hAnsi="Times New Roman" w:cs="Times New Roman"/>
          <w:b/>
          <w:sz w:val="20"/>
          <w:szCs w:val="20"/>
        </w:rPr>
        <w:t>-</w:t>
      </w:r>
      <w:r w:rsidRPr="00E77BD5">
        <w:rPr>
          <w:rFonts w:ascii="Times New Roman" w:hAnsi="Times New Roman" w:cs="Times New Roman"/>
          <w:sz w:val="20"/>
          <w:szCs w:val="20"/>
        </w:rPr>
        <w:t xml:space="preserve"> по налогу на доходы физических лиц в местный бюджет –6692,3тыс.рублей (на 01.01.2022года -4516,3тыс.рублей);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-  по налогу, взимаемому в связи с применением упрощенной системы налогообложения-</w:t>
      </w:r>
      <w:r w:rsidRPr="00E77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1134,4тыс.рублей (на 01.01.2022-488,4тыс.рублей);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- по налогу, взимаемому в связи с применением патентной системы налогообложения- 69,2тыс.рублей (на 01.01.2022-63,3тыс.рублей);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- налог на добычу общераспространенных полезных ископаемых- 786,1тыс.рублей (на 01.01.2022-отсутствовал);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- единый налог на вмененный доход – 226,7 тыс.рублей.</w:t>
      </w:r>
    </w:p>
    <w:p w:rsidR="00650C7D" w:rsidRPr="00E77BD5" w:rsidRDefault="00650C7D" w:rsidP="00650C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В соответствии с произведенным на основании Порядка мониторинга резервов налоговых и неналоговых доходов местных бюджетов (утв. приказом Министерства финансов Челябинской области от 03.03.2017 № 01/5-47/1) расчетом, </w:t>
      </w:r>
      <w:r w:rsidRPr="00E77BD5">
        <w:rPr>
          <w:rFonts w:ascii="Times New Roman" w:hAnsi="Times New Roman" w:cs="Times New Roman"/>
          <w:i/>
          <w:sz w:val="20"/>
          <w:szCs w:val="20"/>
        </w:rPr>
        <w:t>резерв доходов района в 2023 году в связи с наличием недоимки по налоговым доходам составит 2672,6 тыс. рублей.</w:t>
      </w:r>
    </w:p>
    <w:p w:rsidR="008B4901" w:rsidRPr="00E77BD5" w:rsidRDefault="008B4901" w:rsidP="004D4396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/>
          <w:i/>
          <w:sz w:val="20"/>
          <w:szCs w:val="20"/>
        </w:rPr>
        <w:t xml:space="preserve">Неналоговые доходы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Поступление неналоговых доходов районного бюджета за 2022 год составило 45309,8тыс. рублей или 118,1процентов плановых (прогнозных) показателей (38360,8тыс.рублей). Плановые показатели выполнены по всем видам неналоговых доходов.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В сравнении с 2021годом (43162,9тыс.рублей) поступления неналоговых доходов в район  увеличились на 5,0процентов (на 2146,9тыс.рублей). Информация об исполнении неналоговых доходов районного бюджета за 2021-2022годы представлена в таблице 6.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Таблица 6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992"/>
        <w:gridCol w:w="992"/>
        <w:gridCol w:w="992"/>
        <w:gridCol w:w="1134"/>
        <w:gridCol w:w="850"/>
      </w:tblGrid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8" w:type="dxa"/>
            <w:vMerge w:val="restart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Merge w:val="restart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неналоговых доходов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2021год</w:t>
            </w:r>
          </w:p>
        </w:tc>
        <w:tc>
          <w:tcPr>
            <w:tcW w:w="3118" w:type="dxa"/>
            <w:gridSpan w:val="3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2022год</w:t>
            </w:r>
          </w:p>
        </w:tc>
        <w:tc>
          <w:tcPr>
            <w:tcW w:w="850" w:type="dxa"/>
            <w:vMerge w:val="restart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в 2022 к 2021 году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(в  %)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7=5:3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68" w:type="dxa"/>
            <w:vMerge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Исполнено 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Утверждено 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Исполнено </w:t>
            </w:r>
          </w:p>
        </w:tc>
        <w:tc>
          <w:tcPr>
            <w:tcW w:w="1134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к утвержденному плану (в %)</w:t>
            </w:r>
          </w:p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7170,7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7073,5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8220,3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Доходы, получаемые в виде арендной платы за земли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179,1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139,7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3325,0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5046,0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6124,7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399,7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1478,7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277,4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369,9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26397,9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21500,0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24817,5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4583,7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2641,5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2817,4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1171,6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1469,3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1701,9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8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3969" w:type="dxa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-3,80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537" w:type="dxa"/>
            <w:gridSpan w:val="2"/>
          </w:tcPr>
          <w:p w:rsidR="00650C7D" w:rsidRPr="00E77BD5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43162,9</w:t>
            </w:r>
          </w:p>
        </w:tc>
        <w:tc>
          <w:tcPr>
            <w:tcW w:w="992" w:type="dxa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38360,8</w:t>
            </w:r>
          </w:p>
        </w:tc>
        <w:tc>
          <w:tcPr>
            <w:tcW w:w="992" w:type="dxa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45309,8</w:t>
            </w:r>
          </w:p>
        </w:tc>
        <w:tc>
          <w:tcPr>
            <w:tcW w:w="1134" w:type="dxa"/>
            <w:shd w:val="clear" w:color="auto" w:fill="auto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118,1</w:t>
            </w:r>
          </w:p>
        </w:tc>
        <w:tc>
          <w:tcPr>
            <w:tcW w:w="850" w:type="dxa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105,0</w:t>
            </w:r>
          </w:p>
        </w:tc>
      </w:tr>
    </w:tbl>
    <w:p w:rsidR="00650C7D" w:rsidRPr="00E77BD5" w:rsidRDefault="00650C7D" w:rsidP="00650C7D">
      <w:pPr>
        <w:pStyle w:val="a8"/>
        <w:spacing w:after="0"/>
        <w:jc w:val="both"/>
        <w:rPr>
          <w:sz w:val="20"/>
          <w:szCs w:val="20"/>
        </w:rPr>
      </w:pPr>
      <w:r w:rsidRPr="00E77BD5">
        <w:rPr>
          <w:sz w:val="20"/>
          <w:szCs w:val="20"/>
        </w:rPr>
        <w:t xml:space="preserve">       Наибольший удельный вес в исполнении неналоговых доходов занимают доходы от оказания платных услуг и компенсации затрат государства -54,8процентов от суммы неналоговых поступлений. </w:t>
      </w:r>
    </w:p>
    <w:p w:rsidR="00650C7D" w:rsidRPr="00E77BD5" w:rsidRDefault="00650C7D" w:rsidP="00650C7D">
      <w:pPr>
        <w:pStyle w:val="a8"/>
        <w:spacing w:after="0"/>
        <w:jc w:val="both"/>
        <w:rPr>
          <w:sz w:val="20"/>
          <w:szCs w:val="20"/>
        </w:rPr>
      </w:pPr>
      <w:r w:rsidRPr="00E77BD5">
        <w:rPr>
          <w:sz w:val="20"/>
          <w:szCs w:val="20"/>
        </w:rPr>
        <w:t xml:space="preserve">       Поступления в бюджет от перечисления части чистой прибыли муниципальных унитарных предприятий в 2022году отсутствуют. Согласно Сведениям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(ф.0503174), задолженность муниципальных унитарных предприятий по перечислению части прибыли в бюджет района составила на 01.01.2023года- 2831,8тыс.рублей. </w:t>
      </w:r>
    </w:p>
    <w:p w:rsidR="00650C7D" w:rsidRPr="00E77BD5" w:rsidRDefault="00650C7D" w:rsidP="00650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В отчётном году реализовано имущество Карталинского муниципального района на сумму 513,7 тыс. рублей, в том числе: </w:t>
      </w:r>
    </w:p>
    <w:p w:rsidR="00650C7D" w:rsidRPr="00E77BD5" w:rsidRDefault="00650C7D" w:rsidP="00650C7D">
      <w:pPr>
        <w:pStyle w:val="a8"/>
        <w:spacing w:after="0"/>
        <w:ind w:firstLine="426"/>
        <w:jc w:val="both"/>
        <w:rPr>
          <w:sz w:val="20"/>
          <w:szCs w:val="20"/>
        </w:rPr>
      </w:pPr>
      <w:r w:rsidRPr="00E77BD5">
        <w:rPr>
          <w:sz w:val="20"/>
          <w:szCs w:val="20"/>
        </w:rPr>
        <w:t>- внесена сумма 266,9 тыс.рублей за выкуп нежилого подвального помещения, по адресу: г. Карталы, улица Славы, 2;</w:t>
      </w:r>
    </w:p>
    <w:p w:rsidR="00650C7D" w:rsidRPr="00E77BD5" w:rsidRDefault="00650C7D" w:rsidP="00650C7D">
      <w:pPr>
        <w:pStyle w:val="a8"/>
        <w:spacing w:after="0"/>
        <w:ind w:firstLine="426"/>
        <w:jc w:val="both"/>
        <w:rPr>
          <w:sz w:val="20"/>
          <w:szCs w:val="20"/>
        </w:rPr>
      </w:pPr>
      <w:r w:rsidRPr="00E77BD5">
        <w:rPr>
          <w:sz w:val="20"/>
          <w:szCs w:val="20"/>
        </w:rPr>
        <w:t>- внесена сумма 240,0 тыс. рублей за выкуп нежилого здания по адресу: г. Карталы, переулок Нефтебазный,17;</w:t>
      </w:r>
    </w:p>
    <w:p w:rsidR="00650C7D" w:rsidRPr="00E77BD5" w:rsidRDefault="00650C7D" w:rsidP="00650C7D">
      <w:pPr>
        <w:pStyle w:val="a8"/>
        <w:spacing w:after="0"/>
        <w:ind w:firstLine="426"/>
        <w:jc w:val="both"/>
        <w:rPr>
          <w:sz w:val="20"/>
          <w:szCs w:val="20"/>
        </w:rPr>
      </w:pPr>
      <w:r w:rsidRPr="00E77BD5">
        <w:rPr>
          <w:sz w:val="20"/>
          <w:szCs w:val="20"/>
        </w:rPr>
        <w:t>-прочая реализация – 6,8 тыс. рублей.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Согласно отчетности главного администратора доходов - Управления по имущественной и земельной политике Карталинского муниципального района, размер просроченной задолженности в местный бюджет на 01.01.2023года составил 12065,0тыс.рублей, снизился в сравнении с аналогичным периодом прошлого года 2840,3тыс.рублей или на 19процентов (на 01.01.2022года- 14905,3тыс.рублей):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 по доходам от арендной платы за земельные участки 7574,0тыс.рублей (на 01.01.2022- 8186,7тыс.рублей);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по доходам от сдачи в аренду имущества муниципального района – 2415,8тыс.рублей (на 01.01.2022 -4643,4тыс.рублей); </w:t>
      </w:r>
    </w:p>
    <w:p w:rsidR="00650C7D" w:rsidRPr="00E77BD5" w:rsidRDefault="00650C7D" w:rsidP="0065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задолженность муниципальных унитарных предприятий по перечислению части прибыли составила – 2831,8тыс.рублей, в том числе просроченная – 2075,2тыс.рублей, из них: МУП «Межевой центр» (124,8тыс.рублей) находится в стадии ликвидации,  МУП «Автовокзал» (663,6тыс.рублей) –признан банкротом, открыто конкурсное производство.</w:t>
      </w:r>
    </w:p>
    <w:p w:rsidR="00650C7D" w:rsidRPr="00E77BD5" w:rsidRDefault="00650C7D" w:rsidP="0065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Перечисления муниципальными унитарными предприятиями части прибыли в доход районного бюджета не производилось с 2019 года.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Вышеперечисленная просроченная задолженность в бюджет по неналоговым доходам в размере 50процентов от общей суммы (</w:t>
      </w:r>
      <w:r w:rsidRPr="00E77BD5">
        <w:rPr>
          <w:rFonts w:ascii="Times New Roman" w:hAnsi="Times New Roman" w:cs="Times New Roman"/>
          <w:sz w:val="20"/>
          <w:szCs w:val="20"/>
        </w:rPr>
        <w:t>12065,0тыс.рублей)</w:t>
      </w:r>
      <w:r w:rsidRPr="00E77BD5">
        <w:rPr>
          <w:rFonts w:ascii="Times New Roman" w:hAnsi="Times New Roman" w:cs="Times New Roman"/>
          <w:i/>
          <w:sz w:val="20"/>
          <w:szCs w:val="20"/>
        </w:rPr>
        <w:t>, что составляет 6032,5тыс.рублей, является резервом  пополнения районного бюджета в 2023году.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/>
          <w:i/>
          <w:sz w:val="20"/>
          <w:szCs w:val="20"/>
        </w:rPr>
        <w:t>3. Безвозмездные поступления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В 2022году безвозмездные поступления исполнены </w:t>
      </w:r>
      <w:r w:rsidRPr="00E77BD5">
        <w:rPr>
          <w:rFonts w:ascii="Times New Roman" w:hAnsi="Times New Roman" w:cs="Times New Roman"/>
          <w:iCs/>
          <w:sz w:val="20"/>
          <w:szCs w:val="20"/>
        </w:rPr>
        <w:t xml:space="preserve"> на сумму </w:t>
      </w:r>
      <w:r w:rsidRPr="00E77B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1688355,3тыс.рублей </w:t>
      </w:r>
      <w:r w:rsidRPr="00E77BD5">
        <w:rPr>
          <w:rFonts w:ascii="Times New Roman" w:hAnsi="Times New Roman" w:cs="Times New Roman"/>
          <w:sz w:val="20"/>
          <w:szCs w:val="20"/>
        </w:rPr>
        <w:t>или 95,2процентов от утвержденных бюджетных назначений (</w:t>
      </w:r>
      <w:r w:rsidRPr="00E77BD5">
        <w:rPr>
          <w:rFonts w:ascii="Times New Roman" w:hAnsi="Times New Roman" w:cs="Times New Roman"/>
          <w:bCs/>
          <w:color w:val="000000"/>
          <w:sz w:val="20"/>
          <w:szCs w:val="20"/>
        </w:rPr>
        <w:t>1773053,9</w:t>
      </w:r>
      <w:r w:rsidRPr="00E77BD5">
        <w:rPr>
          <w:rFonts w:ascii="Times New Roman" w:hAnsi="Times New Roman" w:cs="Times New Roman"/>
          <w:sz w:val="20"/>
          <w:szCs w:val="20"/>
        </w:rPr>
        <w:t>тыс.рублей).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Анализ исполнения безвозмездных поступлений за 2022год представлен в таблице 7.</w:t>
      </w:r>
    </w:p>
    <w:p w:rsidR="00650C7D" w:rsidRPr="00E77BD5" w:rsidRDefault="00650C7D" w:rsidP="00650C7D">
      <w:pPr>
        <w:pStyle w:val="31"/>
        <w:ind w:firstLine="720"/>
        <w:jc w:val="right"/>
        <w:rPr>
          <w:iCs/>
          <w:sz w:val="20"/>
          <w:szCs w:val="20"/>
        </w:rPr>
      </w:pPr>
      <w:r w:rsidRPr="00E77BD5">
        <w:rPr>
          <w:iCs/>
          <w:sz w:val="20"/>
          <w:szCs w:val="20"/>
        </w:rPr>
        <w:t>Таблица 7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93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992"/>
        <w:gridCol w:w="1134"/>
        <w:gridCol w:w="758"/>
        <w:gridCol w:w="955"/>
        <w:gridCol w:w="1070"/>
      </w:tblGrid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(+,-)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 исполнения в общих доходах в %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1773053,9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1688355,3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-84698,6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74,7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Р.Ф., 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1772257,1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1712992,0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96,7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-59265,1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75,8 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293216,1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C30"/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293216,1</w:t>
            </w:r>
            <w:bookmarkEnd w:id="0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13,0 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536951,5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487578,9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-49372,6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21,6 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795352,4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789998,6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-5353,8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35,0 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146737,1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142198,4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-4538,7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6,2 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796,8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1041,1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130,7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244,3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0,0 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1838,6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1838,6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0,1 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-27516,4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-27516,4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-1,2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Безвозмездные поступления от других бюджетов бюджетной системы РФ исполнены в отчетном году на сумму 1712992,0тыс.рублей или 96,7тыс.рублей.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В отчетном периоде в сравнении с 2021годом (1507272,3тыс.рублей) наблюдается рост безвозмездных поступлений от других бюджетов бюджетной системы РФ на 13,6 процентов (на 205719,7тыс.рублей).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77BD5">
        <w:rPr>
          <w:rFonts w:ascii="Times New Roman" w:hAnsi="Times New Roman" w:cs="Times New Roman"/>
          <w:iCs/>
          <w:sz w:val="20"/>
          <w:szCs w:val="20"/>
        </w:rPr>
        <w:t>В 2022 году поступили:</w:t>
      </w:r>
    </w:p>
    <w:p w:rsidR="00650C7D" w:rsidRPr="00E77BD5" w:rsidRDefault="00650C7D" w:rsidP="00650C7D">
      <w:pPr>
        <w:pStyle w:val="31"/>
        <w:ind w:firstLine="426"/>
        <w:rPr>
          <w:iCs/>
          <w:sz w:val="20"/>
          <w:szCs w:val="20"/>
        </w:rPr>
      </w:pPr>
      <w:r w:rsidRPr="00E77BD5">
        <w:rPr>
          <w:iCs/>
          <w:sz w:val="20"/>
          <w:szCs w:val="20"/>
        </w:rPr>
        <w:t xml:space="preserve">- дотации сумме </w:t>
      </w:r>
      <w:r w:rsidRPr="00E77BD5">
        <w:rPr>
          <w:sz w:val="20"/>
          <w:szCs w:val="20"/>
        </w:rPr>
        <w:t>293216,1тыс.рублей</w:t>
      </w:r>
      <w:r w:rsidRPr="00E77BD5">
        <w:rPr>
          <w:iCs/>
          <w:sz w:val="20"/>
          <w:szCs w:val="20"/>
        </w:rPr>
        <w:t xml:space="preserve"> (исполнение 100процентов), со снижением к 2021 году на 89992,8 тыс. рублей или на 23,5 процентов (2021год-383208,9 тыс. рублей), </w:t>
      </w:r>
    </w:p>
    <w:p w:rsidR="00650C7D" w:rsidRPr="00E77BD5" w:rsidRDefault="00650C7D" w:rsidP="00650C7D">
      <w:pPr>
        <w:pStyle w:val="31"/>
        <w:ind w:firstLine="426"/>
        <w:rPr>
          <w:iCs/>
          <w:sz w:val="20"/>
          <w:szCs w:val="20"/>
        </w:rPr>
      </w:pPr>
      <w:r w:rsidRPr="00E77BD5">
        <w:rPr>
          <w:iCs/>
          <w:sz w:val="20"/>
          <w:szCs w:val="20"/>
        </w:rPr>
        <w:t>- субсидии 487578,9 тыс. рублей (исполнение 90,8процентов), выше уровня прошлого года на 286552,3 тыс. рублей или в 2,4 раза (2021 год-201026,6 тыс. рублей),</w:t>
      </w:r>
    </w:p>
    <w:p w:rsidR="00650C7D" w:rsidRPr="00E77BD5" w:rsidRDefault="00650C7D" w:rsidP="00650C7D">
      <w:pPr>
        <w:pStyle w:val="31"/>
        <w:ind w:firstLine="426"/>
        <w:rPr>
          <w:iCs/>
          <w:sz w:val="20"/>
          <w:szCs w:val="20"/>
        </w:rPr>
      </w:pPr>
      <w:r w:rsidRPr="00E77BD5">
        <w:rPr>
          <w:iCs/>
          <w:sz w:val="20"/>
          <w:szCs w:val="20"/>
        </w:rPr>
        <w:t>- субвенции в сумме 789998,6 тыс. рублей (исполнение 99,3процентов), выше уровня аналогичного периода прошлого года на 121,1 тыс. рублей (- 2021 год-789877,5 тыс. рублей),</w:t>
      </w:r>
    </w:p>
    <w:p w:rsidR="00650C7D" w:rsidRPr="00E77BD5" w:rsidRDefault="00650C7D" w:rsidP="00650C7D">
      <w:pPr>
        <w:pStyle w:val="31"/>
        <w:ind w:firstLine="426"/>
        <w:rPr>
          <w:iCs/>
          <w:sz w:val="20"/>
          <w:szCs w:val="20"/>
        </w:rPr>
      </w:pPr>
      <w:r w:rsidRPr="00E77BD5">
        <w:rPr>
          <w:iCs/>
          <w:sz w:val="20"/>
          <w:szCs w:val="20"/>
        </w:rPr>
        <w:t xml:space="preserve">- иные межбюджетные трансферты, </w:t>
      </w:r>
      <w:r w:rsidRPr="00E77BD5">
        <w:rPr>
          <w:sz w:val="20"/>
          <w:szCs w:val="20"/>
        </w:rPr>
        <w:t xml:space="preserve">передаваемые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  в сумме </w:t>
      </w:r>
      <w:r w:rsidRPr="00E77BD5">
        <w:rPr>
          <w:iCs/>
          <w:sz w:val="20"/>
          <w:szCs w:val="20"/>
        </w:rPr>
        <w:t>142198,4 тыс. рублей (исполнение 96,9процентов), с ростом к 2021 году на 9039,1 тыс. рублей или на 6,8 % (2021 год-133159,3 тыс. рублей).</w:t>
      </w:r>
    </w:p>
    <w:p w:rsidR="00650C7D" w:rsidRPr="00E77BD5" w:rsidRDefault="00650C7D" w:rsidP="00650C7D">
      <w:pPr>
        <w:pStyle w:val="31"/>
        <w:ind w:firstLine="426"/>
        <w:rPr>
          <w:iCs/>
          <w:sz w:val="20"/>
          <w:szCs w:val="20"/>
        </w:rPr>
      </w:pPr>
      <w:r w:rsidRPr="00E77BD5">
        <w:rPr>
          <w:iCs/>
          <w:sz w:val="20"/>
          <w:szCs w:val="20"/>
        </w:rPr>
        <w:t xml:space="preserve">Прочие безвозмездные поступления за 2022 год составили 1041,1 тыс. рублей, из них 741,8 тыс. рублей средства, поступившие в администрацию Карталинского муниципального района (добровольные пожертвования).  </w:t>
      </w:r>
    </w:p>
    <w:p w:rsidR="00650C7D" w:rsidRPr="00E77BD5" w:rsidRDefault="00650C7D" w:rsidP="00650C7D">
      <w:pPr>
        <w:pStyle w:val="31"/>
        <w:ind w:firstLine="426"/>
        <w:rPr>
          <w:color w:val="000000"/>
          <w:sz w:val="20"/>
          <w:szCs w:val="20"/>
        </w:rPr>
      </w:pPr>
      <w:r w:rsidRPr="00E77BD5">
        <w:rPr>
          <w:color w:val="000000"/>
          <w:sz w:val="20"/>
          <w:szCs w:val="20"/>
        </w:rPr>
        <w:t>Возвращены остатки субсидий, субвенций и иных межбюджетных трансфертов, имеющих целевое назначение, прошлых лет в бюджет района-1838,6тыс.рублей.</w:t>
      </w:r>
    </w:p>
    <w:p w:rsidR="00650C7D" w:rsidRPr="00E77BD5" w:rsidRDefault="00650C7D" w:rsidP="00650C7D">
      <w:pPr>
        <w:pStyle w:val="31"/>
        <w:ind w:firstLine="426"/>
        <w:rPr>
          <w:iCs/>
          <w:sz w:val="20"/>
          <w:szCs w:val="20"/>
        </w:rPr>
      </w:pPr>
      <w:r w:rsidRPr="00E77BD5">
        <w:rPr>
          <w:color w:val="000000"/>
          <w:sz w:val="20"/>
          <w:szCs w:val="20"/>
        </w:rPr>
        <w:t xml:space="preserve">Возвращены </w:t>
      </w:r>
      <w:r w:rsidRPr="00E77BD5">
        <w:rPr>
          <w:sz w:val="20"/>
          <w:szCs w:val="20"/>
        </w:rPr>
        <w:t>из бюджета муниципального района</w:t>
      </w:r>
      <w:r w:rsidRPr="00E77BD5">
        <w:rPr>
          <w:color w:val="000000"/>
          <w:sz w:val="20"/>
          <w:szCs w:val="20"/>
        </w:rPr>
        <w:t xml:space="preserve"> остатки субсидий, субвенций и иных межбюджетных трансфертов, имеющих целевое назначение, прошлых лет</w:t>
      </w:r>
      <w:r w:rsidRPr="00E77BD5">
        <w:rPr>
          <w:sz w:val="20"/>
          <w:szCs w:val="20"/>
        </w:rPr>
        <w:t xml:space="preserve"> в сумме 27516,4тыс.рублей. </w:t>
      </w:r>
    </w:p>
    <w:p w:rsidR="008B4901" w:rsidRPr="00E77BD5" w:rsidRDefault="008B4901" w:rsidP="004D4396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E77BD5">
        <w:rPr>
          <w:rFonts w:ascii="Times New Roman" w:hAnsi="Times New Roman" w:cs="Times New Roman"/>
          <w:b/>
          <w:sz w:val="20"/>
          <w:szCs w:val="20"/>
        </w:rPr>
        <w:t>Расходы бюджета</w:t>
      </w:r>
    </w:p>
    <w:p w:rsidR="00650C7D" w:rsidRPr="00E77BD5" w:rsidRDefault="00650C7D" w:rsidP="00650C7D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В 2022году районный бюджет по расходам  исполнен в объеме 2317135,6 тыс. рублей или 96,4процента от годовых назначений (2403011,5тыс.рублей). Общий  объем исполненных расходов бюджета в 2022году в сравнении с предыдущим отчетным периодом (1865171,9 тыс. рублей) увеличился на 24,2 процентов.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Муниципальные гарантии в 2022 году не предоставлялись.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Муниципальные заимствования в 2022году не производились.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Муниципальный долг на 01.01.2022года составлял 0,0тыс.рублей, на 31.12.2022года  - 0,0тыс.рублей.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Пунктом 9 Решения №220 установлена приоритетность расходов при доведении лимитов бюджетных обязательств и финансировании расходов в 2022году. Доля социально-ориентируемых расходов в 2022году составила в структуре расходов  69,6процентов или 1613004,9тыс.рублей, против 2021года уменьшилась на 3,5процента. 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На территории района в 2022году планировались и фактически исполнялись мероприятия по 39 муниципальным программам (в 2021году-по 40муниципальным программам). В рамках муниципальных программ осуществлены расходы в сфере образования, культуры, спорта, социального обслуживания населения, строительства и жилищно-коммунальной сферы, благоустройства, сельского хозяйства, управления имуществом. Профинансированы все включенные в решение о районном бюджете муниципальные программы. Расходы на их реализацию составили  2187105,7тыс.рублей или 94,4процентов уточненных бюджетных назначений по муниципальным программам (2267712,8 тыс. рублей). Из 39 муниципальных программ в полном объеме (100%) исполнены 13 муниципальных программ. Наименьший процент исполнения -по муниципальной программе «Комплексное развитие сельских территорий Карталинского муниципального района Челябинской области на 2020-2024годы» -1,4процента.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На территории Карталинского муниципального района в 2022году четырьмя ГРБС реализовывались мероприятия в рамках 6 национальных проектов. Исполнение за отчетный год составило 23312,7тыс.рублей или 99,9процентов от утвержденных бюджетных назначений (23329,7тыс.рублей). Общий объем неисполненных бюджетных назначений составил 17,0тыс.рублей, из них: по Нацпроекту «Демография» -16,9тыс.рублей.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3543"/>
        <w:gridCol w:w="5529"/>
      </w:tblGrid>
      <w:tr w:rsidR="00650C7D" w:rsidRPr="00E77BD5" w:rsidTr="00650C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Национальный проект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Региональный проект</w:t>
            </w:r>
          </w:p>
        </w:tc>
      </w:tr>
      <w:tr w:rsidR="00650C7D" w:rsidRPr="00E77BD5" w:rsidTr="00650C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Цифровая экономика Российской Федерации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«Информационная безопасность»</w:t>
            </w:r>
          </w:p>
        </w:tc>
      </w:tr>
      <w:tr w:rsidR="00650C7D" w:rsidRPr="00E77BD5" w:rsidTr="00650C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«Творческие люди»</w:t>
            </w:r>
          </w:p>
        </w:tc>
      </w:tr>
      <w:tr w:rsidR="00650C7D" w:rsidRPr="00E77BD5" w:rsidTr="00650C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«Современная школа»,  </w:t>
            </w:r>
          </w:p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«Социальная активность патриотическое воспитание граждан Российской Федерации», «Патриотическое воспитание граждан Российской Федерации»</w:t>
            </w:r>
          </w:p>
        </w:tc>
      </w:tr>
      <w:tr w:rsidR="00650C7D" w:rsidRPr="00E77BD5" w:rsidTr="00650C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Демография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«Финансовая поддержка семей при рождении детей»</w:t>
            </w:r>
          </w:p>
        </w:tc>
      </w:tr>
      <w:tr w:rsidR="00650C7D" w:rsidRPr="00E77BD5" w:rsidTr="00650C7D">
        <w:trPr>
          <w:trHeight w:val="21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«Чистая страна»</w:t>
            </w:r>
          </w:p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«Комплексная система обращения с твердыми коммунальными отходами»</w:t>
            </w:r>
          </w:p>
        </w:tc>
      </w:tr>
      <w:tr w:rsidR="00650C7D" w:rsidRPr="00E77BD5" w:rsidTr="00650C7D">
        <w:trPr>
          <w:trHeight w:val="1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Жильё и городская среда</w:t>
            </w:r>
          </w:p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«Формирование комфортной городской среды»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Исполнение расходов в 2022году осуществлялось по 11 разделам классификации расходов бюджетов представлено таблица 8.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Таблица 8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3559"/>
        <w:gridCol w:w="1418"/>
        <w:gridCol w:w="1402"/>
        <w:gridCol w:w="992"/>
        <w:gridCol w:w="1134"/>
      </w:tblGrid>
      <w:tr w:rsidR="00650C7D" w:rsidRPr="00E77BD5" w:rsidTr="006E58BA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Назначено (по бюджетной росписи)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Процент исполнения гр.4:гр.3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исполнения в общих расходах, %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126 062,6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119 620,0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1 728,4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1 728,4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19 483,8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15 156,4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99 979,6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338 214,3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315 039,1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1 025 246,7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983 106,2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Культура 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94 788,8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94 520,7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353 001,3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350 141,5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F21"/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  <w:bookmarkEnd w:id="1"/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189 002,5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185 236,5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1200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50C7D" w:rsidRPr="00E77BD5" w:rsidTr="006E58BA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152 503,5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149 703,5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650C7D" w:rsidRPr="00E77BD5" w:rsidTr="006E58BA">
        <w:trPr>
          <w:trHeight w:val="6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2 403 011,5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2 317 135,6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И</w:t>
      </w:r>
      <w:r w:rsidRPr="00E77BD5">
        <w:rPr>
          <w:rFonts w:ascii="Times New Roman" w:hAnsi="Times New Roman" w:cs="Times New Roman"/>
          <w:color w:val="000000"/>
          <w:sz w:val="20"/>
          <w:szCs w:val="20"/>
        </w:rPr>
        <w:t>сполнение расходов в 2022 году по ведомственной структуре приведено в таблице 9.</w:t>
      </w:r>
      <w:r w:rsidRPr="00E77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C7D" w:rsidRPr="00E77BD5" w:rsidRDefault="00650C7D" w:rsidP="00650C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77BD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Таблица 9</w:t>
      </w:r>
    </w:p>
    <w:p w:rsidR="00650C7D" w:rsidRPr="00E77BD5" w:rsidRDefault="00650C7D" w:rsidP="00650C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77BD5">
        <w:rPr>
          <w:rFonts w:ascii="Times New Roman" w:hAnsi="Times New Roman" w:cs="Times New Roman"/>
          <w:color w:val="000000"/>
          <w:sz w:val="20"/>
          <w:szCs w:val="20"/>
        </w:rPr>
        <w:t xml:space="preserve"> (тыс.рублей)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4838"/>
        <w:gridCol w:w="1100"/>
        <w:gridCol w:w="1053"/>
        <w:gridCol w:w="782"/>
        <w:gridCol w:w="1203"/>
      </w:tblGrid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Назначено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исполнения в общих расходах, %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Администрация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83 919,4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76 921,7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5 990,5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5 893,4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Собрание депутатов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5 957,6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5 957,6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образования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946 351,8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918 274,2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172 298,7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171 842,5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117 761,9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116 491,7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303 257,3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301 779,5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587 533,0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545 148,4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Финансовое управление Карталинского муниципального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179 941,3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174 826,6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2 403 011,5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2 317 135,6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96,4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650C7D" w:rsidRPr="00E77BD5" w:rsidRDefault="00650C7D" w:rsidP="0065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 Исполнение расходной части бюджета по классификации операций сектора государственного управления представлено в таблице 10.                                                                                   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Таблица 10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2"/>
        <w:gridCol w:w="928"/>
        <w:gridCol w:w="1134"/>
        <w:gridCol w:w="1276"/>
        <w:gridCol w:w="850"/>
        <w:gridCol w:w="1276"/>
      </w:tblGrid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Назначено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исполнения в общих расходах, %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(резерв)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2037,7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787 210,2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785 530,0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7D" w:rsidRPr="00E77BD5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Услуги связи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услуги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Коммунальные услуги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87 684,6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81 230,8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203 336,4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186 732,6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145 072,0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125 166,6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174 920,7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148 307,3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211 278,3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211 154,1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перечисления бюджетам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262 812,5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259 912,9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205 811,3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203 269,3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650C7D" w:rsidRPr="00E77BD5" w:rsidTr="00AE60F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перечисления капитального </w:t>
            </w: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характера государственным (муниципальным) бюджетным и автономным учреждениям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5 297,9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181 401,5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176 450,8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650C7D" w:rsidRPr="00E77BD5" w:rsidTr="00E77B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94 182,6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92 516,7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  <w:tr w:rsidR="00650C7D" w:rsidRPr="00E77BD5" w:rsidTr="006E58B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C7D" w:rsidRPr="00E77BD5" w:rsidRDefault="00650C7D" w:rsidP="006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2 403 011,5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2 317 135,6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7D" w:rsidRPr="00E77BD5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7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7BD5">
        <w:rPr>
          <w:rFonts w:ascii="Times New Roman" w:hAnsi="Times New Roman" w:cs="Times New Roman"/>
          <w:sz w:val="20"/>
          <w:szCs w:val="20"/>
          <w:u w:val="single"/>
        </w:rPr>
        <w:t xml:space="preserve">Дебиторская и кредиторская задолженности.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 xml:space="preserve">         Дебиторская задолженность на 01.01.2023года составила 702851,4тыс.рублей (в том числе просроченная 12272,3тыс.рублей). </w:t>
      </w:r>
      <w:r w:rsidRPr="00E77BD5">
        <w:rPr>
          <w:rFonts w:ascii="Times New Roman" w:hAnsi="Times New Roman" w:cs="Times New Roman"/>
          <w:sz w:val="20"/>
          <w:szCs w:val="20"/>
        </w:rPr>
        <w:t>По сравнению с началом отчетного периода</w:t>
      </w:r>
      <w:r w:rsidRPr="00E77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(на 01.01.2022- 810100,1тыс.рублей) общий объем дебиторской задолженности снизился на 107248,7тыс.рублей или на 13,2процентов. Просроченная  задолженность сократилась на 4078,1тыс.рублей или  на 24,9процентов.</w:t>
      </w:r>
    </w:p>
    <w:p w:rsidR="00650C7D" w:rsidRPr="00E77BD5" w:rsidRDefault="00650C7D" w:rsidP="00650C7D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>Сведения о дебиторской задолженности районного бюджета за 2022год в разрезе счетов бюджетного учета показаны в таблице 11.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Таблица 11</w:t>
      </w:r>
    </w:p>
    <w:p w:rsidR="00650C7D" w:rsidRPr="00E77BD5" w:rsidRDefault="00650C7D" w:rsidP="0065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417"/>
      </w:tblGrid>
      <w:tr w:rsidR="00650C7D" w:rsidRPr="00AE60FA" w:rsidTr="00E77BD5">
        <w:trPr>
          <w:trHeight w:val="4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  дебиторской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31.12.2022</w:t>
            </w:r>
          </w:p>
        </w:tc>
      </w:tr>
      <w:tr w:rsidR="00650C7D" w:rsidRPr="00AE60FA" w:rsidTr="00E77BD5">
        <w:trPr>
          <w:trHeight w:val="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доходам (120500000)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786490,5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693619,4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с плательщиками налогов (120511000)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650C7D" w:rsidRPr="00AE60FA" w:rsidTr="00E77BD5">
        <w:trPr>
          <w:trHeight w:val="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с плательщиками государственных пошлин, сборов (120512000)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0,1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операционной аренды  (120521000)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25555,6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29367,4</w:t>
            </w:r>
          </w:p>
        </w:tc>
      </w:tr>
      <w:tr w:rsidR="00650C7D" w:rsidRPr="00AE60FA" w:rsidTr="00E77BD5">
        <w:trPr>
          <w:trHeight w:val="7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платежей при пользовании природными ресурсами (120523000)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275551,8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307154,5</w:t>
            </w:r>
          </w:p>
        </w:tc>
      </w:tr>
      <w:tr w:rsidR="00650C7D" w:rsidRPr="00AE60FA" w:rsidTr="00E77BD5">
        <w:trPr>
          <w:trHeight w:val="13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дивидендов от объектов инвестирования (120527000)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2831,8</w:t>
            </w:r>
          </w:p>
        </w:tc>
      </w:tr>
      <w:tr w:rsidR="00650C7D" w:rsidRPr="00AE60FA" w:rsidTr="00AE60FA">
        <w:trPr>
          <w:trHeight w:val="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</w:rPr>
              <w:t>Расчеты по доходам от оказания платных услуг (работ)</w:t>
            </w:r>
          </w:p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(120531000)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336,7</w:t>
            </w:r>
          </w:p>
        </w:tc>
      </w:tr>
      <w:tr w:rsidR="00650C7D" w:rsidRPr="00AE60FA" w:rsidTr="00AE60FA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доходам от штрафных санкций за нарушение законодательства о закупках 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(120541000)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</w:tr>
      <w:tr w:rsidR="00650C7D" w:rsidRPr="00AE60FA" w:rsidTr="00E77BD5">
        <w:trPr>
          <w:trHeight w:val="1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прочих сумм принудительного изъятия (120545000)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2335,4</w:t>
            </w:r>
          </w:p>
        </w:tc>
      </w:tr>
      <w:tr w:rsidR="00650C7D" w:rsidRPr="00AE60FA" w:rsidTr="00E77BD5">
        <w:trPr>
          <w:trHeight w:val="4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(120551000)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479755,6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351590,5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выданным авансам (120600000)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6473,6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4546,6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авансам по услугам связи                           (120621000)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86,3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авансам по прочим работам, услугам (120626000)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0,6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авансам по услугам, работам для целей капитальных вложений (120628000)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50C7D" w:rsidRPr="00AE60FA" w:rsidTr="00AE60FA">
        <w:trPr>
          <w:trHeight w:val="7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AE60FA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="00650C7D" w:rsidRPr="00AE60FA">
              <w:rPr>
                <w:rFonts w:ascii="Times New Roman" w:hAnsi="Times New Roman" w:cs="Times New Roman"/>
                <w:sz w:val="16"/>
                <w:szCs w:val="16"/>
              </w:rPr>
              <w:t>Расчеты по авансам по пособиям по социальной помощи населению в денежной форме</w:t>
            </w:r>
            <w:r w:rsidR="00650C7D"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(120662000)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4459,7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с подотчетными лицами (120800000)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281,3</w:t>
            </w:r>
          </w:p>
        </w:tc>
      </w:tr>
      <w:tr w:rsidR="00650C7D" w:rsidRPr="00AE60FA" w:rsidTr="00E77BD5">
        <w:trPr>
          <w:trHeight w:val="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E7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AE60FA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услуг связи</w:t>
            </w:r>
            <w:r w:rsidR="00E77BD5" w:rsidRPr="00AE6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(120821000)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244,0</w:t>
            </w:r>
          </w:p>
        </w:tc>
      </w:tr>
      <w:tr w:rsidR="00650C7D" w:rsidRPr="00AE60FA" w:rsidTr="00E77BD5">
        <w:trPr>
          <w:trHeight w:val="14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E7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по оплате прочих работ, услуг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(120826000)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37,3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ущербу и иным доходам (120900000)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16871,6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4404,1</w:t>
            </w:r>
          </w:p>
        </w:tc>
      </w:tr>
      <w:tr w:rsidR="00650C7D" w:rsidRPr="00AE60FA" w:rsidTr="00AE60FA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бюджета от возврата дебиторской задолженности прошлых лет (120936000)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12744,1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309,7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прочих сумм принудительного изъятия (120945000)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4091,6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Расчеты по ущербу материальных запасов                                                            (120974000)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2,8</w:t>
            </w:r>
          </w:p>
        </w:tc>
      </w:tr>
      <w:tr w:rsidR="00650C7D" w:rsidRPr="00AE60FA" w:rsidTr="00E77BD5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платежам в бюджеты (130300000)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50C7D" w:rsidRPr="00AE60FA" w:rsidTr="00AE60FA">
        <w:trPr>
          <w:trHeight w:val="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AE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налогу на доходы физических лиц 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(130301000)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50C7D" w:rsidRPr="00AE60FA" w:rsidTr="00E77BD5">
        <w:trPr>
          <w:trHeight w:val="32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810100,1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702851,4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На 01.01.2023года: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дебиторская задолженность по счету 120500000 «Расчеты по доходам» снизилась на 92871,1тыс.рублей или на 11,8процентов и составила 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693619,4тыс.рублей, в том числе просроченная задолженность 12065,1тыс.рублей;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- дебиторская задолженность по счету 120600000 «Расчеты по выданным авансам» по сравнению с началом года снизилась   на 1927,0 тыс.рублей или на 29,8процентов и составила -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4546,6тыс.рублей;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-дебиторская задолженность по счету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120800000 «Р</w:t>
      </w:r>
      <w:r w:rsidRPr="00E77BD5">
        <w:rPr>
          <w:rFonts w:ascii="Times New Roman" w:hAnsi="Times New Roman" w:cs="Times New Roman"/>
          <w:sz w:val="20"/>
          <w:szCs w:val="20"/>
        </w:rPr>
        <w:t>асчеты с подотчетными лицами» составила 261,3 тыс. рублей;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- дебиторская задолженность по счету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120900000</w:t>
      </w:r>
      <w:r w:rsidRPr="00E77BD5">
        <w:rPr>
          <w:rFonts w:ascii="Times New Roman" w:hAnsi="Times New Roman" w:cs="Times New Roman"/>
          <w:sz w:val="20"/>
          <w:szCs w:val="20"/>
        </w:rPr>
        <w:t xml:space="preserve"> «Расчеты по ущербу и иным доходам» снизилась на 12467,5тыс.рублей или на 73,9процентов и составила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4404,1</w:t>
      </w:r>
      <w:r w:rsidRPr="00E77BD5">
        <w:rPr>
          <w:rFonts w:ascii="Times New Roman" w:hAnsi="Times New Roman" w:cs="Times New Roman"/>
          <w:sz w:val="20"/>
          <w:szCs w:val="20"/>
        </w:rPr>
        <w:t>тыс.рублей.</w:t>
      </w:r>
    </w:p>
    <w:p w:rsidR="00650C7D" w:rsidRPr="00E77BD5" w:rsidRDefault="00650C7D" w:rsidP="00650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 xml:space="preserve">        Кредиторская задолженность  на 01.01.2023 составила 6418,3тыс.рублей (на 01.01.2022года -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33436,6</w:t>
      </w:r>
      <w:r w:rsidRPr="00E77BD5">
        <w:rPr>
          <w:rFonts w:ascii="Times New Roman" w:hAnsi="Times New Roman" w:cs="Times New Roman"/>
          <w:i/>
          <w:sz w:val="20"/>
          <w:szCs w:val="20"/>
        </w:rPr>
        <w:t>тыс.рублей)</w:t>
      </w:r>
      <w:r w:rsidRPr="00E77BD5">
        <w:rPr>
          <w:rFonts w:ascii="Times New Roman" w:hAnsi="Times New Roman" w:cs="Times New Roman"/>
          <w:sz w:val="20"/>
          <w:szCs w:val="20"/>
        </w:rPr>
        <w:t>. По сравнению с началом отчетного периода общий объем кредиторской задолженности снизился на 27018,3тыс.рублей или на 80,8процентов.</w:t>
      </w:r>
    </w:p>
    <w:p w:rsidR="00650C7D" w:rsidRPr="00E77BD5" w:rsidRDefault="00650C7D" w:rsidP="00E77BD5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>Сведения о кредиторской задолженности районного бюджета за 2022год в разрезе счетов бюджетного учета показаны в таблице 12.</w:t>
      </w:r>
    </w:p>
    <w:p w:rsidR="00650C7D" w:rsidRPr="00E77BD5" w:rsidRDefault="00650C7D" w:rsidP="00650C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Таблица 12</w:t>
      </w:r>
    </w:p>
    <w:p w:rsidR="00650C7D" w:rsidRPr="00E77BD5" w:rsidRDefault="00650C7D" w:rsidP="00650C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1"/>
        <w:gridCol w:w="1555"/>
        <w:gridCol w:w="1418"/>
      </w:tblGrid>
      <w:tr w:rsidR="00650C7D" w:rsidRPr="00AE60FA" w:rsidTr="006E58BA">
        <w:trPr>
          <w:trHeight w:val="442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</w:t>
            </w:r>
          </w:p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кредиторской задолженности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01.01.2022г.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 01.01.2023г.</w:t>
            </w:r>
          </w:p>
        </w:tc>
      </w:tr>
      <w:tr w:rsidR="00650C7D" w:rsidRPr="00AE60FA" w:rsidTr="00E77BD5">
        <w:trPr>
          <w:trHeight w:val="21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Расчеты по доходам (120500000), в том числе: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1688,9</w:t>
            </w:r>
          </w:p>
        </w:tc>
      </w:tr>
      <w:tr w:rsidR="00650C7D" w:rsidRPr="00AE60FA" w:rsidTr="00E77BD5">
        <w:trPr>
          <w:trHeight w:val="10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с плательщиками налогов (120511000)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</w:t>
            </w:r>
          </w:p>
        </w:tc>
      </w:tr>
      <w:tr w:rsidR="00650C7D" w:rsidRPr="00AE60FA" w:rsidTr="00AE60FA">
        <w:trPr>
          <w:trHeight w:val="131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с плательщиками государственных пошлин, сборов (120512000)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1,6</w:t>
            </w:r>
          </w:p>
        </w:tc>
      </w:tr>
      <w:tr w:rsidR="00650C7D" w:rsidRPr="00AE60FA" w:rsidTr="00E77BD5">
        <w:trPr>
          <w:trHeight w:val="157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доходам от операционной аренды 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(120521000)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244,1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 от платежей при пользовании природными ресурсами (120523000)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757,0</w:t>
            </w:r>
          </w:p>
        </w:tc>
      </w:tr>
      <w:tr w:rsidR="00650C7D" w:rsidRPr="00AE60FA" w:rsidTr="00AE60FA">
        <w:trPr>
          <w:trHeight w:val="12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прочим доходам от сумм принудительного изъятия (120545000)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647,9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AE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Cs/>
                <w:sz w:val="16"/>
                <w:szCs w:val="16"/>
              </w:rPr>
              <w:t>Расчеты по невыясненным поступлениям</w:t>
            </w:r>
            <w:r w:rsidR="00AE60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(120581000)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</w:tr>
      <w:tr w:rsidR="00650C7D" w:rsidRPr="00AE60FA" w:rsidTr="00E77BD5">
        <w:trPr>
          <w:trHeight w:val="197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ущербу и иным доходам(120900000)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203,4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доходам от прочих сумм принудительного изъятия (120945000)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203,4</w:t>
            </w:r>
          </w:p>
        </w:tc>
      </w:tr>
      <w:tr w:rsidR="00650C7D" w:rsidRPr="00AE60FA" w:rsidTr="00E77BD5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принятым обязательствам (130200000)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2705,9</w:t>
            </w:r>
          </w:p>
        </w:tc>
      </w:tr>
      <w:tr w:rsidR="00650C7D" w:rsidRPr="00AE60FA" w:rsidTr="00E77BD5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услугам связи</w:t>
            </w: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(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130221000)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126,4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коммунальным услугам</w:t>
            </w: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(130223000)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1205,8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работам, услугам по содержанию имущества (130225000)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821,0</w:t>
            </w:r>
          </w:p>
        </w:tc>
      </w:tr>
      <w:tr w:rsidR="00650C7D" w:rsidRPr="00AE60FA" w:rsidTr="00E77BD5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прочим работам, услугам (130226000)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246,0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Расчеты по услугам, работам для целей капитальных вложений (130228000)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132,8</w:t>
            </w:r>
          </w:p>
        </w:tc>
      </w:tr>
      <w:tr w:rsidR="00650C7D" w:rsidRPr="00AE60FA" w:rsidTr="00E77BD5">
        <w:trPr>
          <w:trHeight w:val="12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приобретению материальных запасов (130234000)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173,9</w:t>
            </w:r>
          </w:p>
        </w:tc>
      </w:tr>
      <w:tr w:rsidR="00650C7D" w:rsidRPr="00AE60FA" w:rsidTr="00E77BD5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Расчеты по платежам в бюджеты (130300000), из них: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28712,3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1820,1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 (130302000)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100,5</w:t>
            </w:r>
          </w:p>
        </w:tc>
      </w:tr>
      <w:tr w:rsidR="00650C7D" w:rsidRPr="00AE60FA" w:rsidTr="00E77BD5">
        <w:trPr>
          <w:trHeight w:val="7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прочим платежам в бюджет    (130305000)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397,2</w:t>
            </w:r>
          </w:p>
        </w:tc>
      </w:tr>
      <w:tr w:rsidR="00650C7D" w:rsidRPr="00AE60FA" w:rsidTr="00E77BD5">
        <w:trPr>
          <w:trHeight w:val="276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   (130306000)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7,0</w:t>
            </w:r>
          </w:p>
        </w:tc>
      </w:tr>
      <w:tr w:rsidR="00650C7D" w:rsidRPr="00AE60FA" w:rsidTr="00AE60FA">
        <w:trPr>
          <w:trHeight w:val="53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Расчеты по страховым взносам на обязательное медицинское страхование в Федеральный ФОМС   (130307000)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202,4</w:t>
            </w:r>
          </w:p>
        </w:tc>
      </w:tr>
      <w:tr w:rsidR="00650C7D" w:rsidRPr="00AE60FA" w:rsidTr="00AE60FA">
        <w:trPr>
          <w:trHeight w:val="61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Расчеты по страховым взносам на обязательное пенсионное страхование на выплату страховой части трудовой пенсии    (130310000)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1113,0</w:t>
            </w:r>
          </w:p>
        </w:tc>
      </w:tr>
      <w:tr w:rsidR="00650C7D" w:rsidRPr="00AE60FA" w:rsidTr="006E58BA">
        <w:trPr>
          <w:trHeight w:val="220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D" w:rsidRPr="00AE60FA" w:rsidRDefault="00650C7D" w:rsidP="0065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33436,6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D" w:rsidRPr="00AE60FA" w:rsidRDefault="00650C7D" w:rsidP="00650C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E60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6418,3</w:t>
            </w:r>
          </w:p>
        </w:tc>
      </w:tr>
    </w:tbl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На 01.01.2023года: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120500000</w:t>
      </w:r>
      <w:r w:rsidRPr="00E77BD5">
        <w:rPr>
          <w:rFonts w:ascii="Times New Roman" w:hAnsi="Times New Roman" w:cs="Times New Roman"/>
          <w:sz w:val="20"/>
          <w:szCs w:val="20"/>
        </w:rPr>
        <w:t xml:space="preserve"> «Расчеты по доходам» увеличилась на 594,7тыс.рублей, в том числе по причине  роста задолженности по оплате аренды земельных участков   на 292,8тыс.рублей  и увеличения задолженности  по штрафным санкциям Министерства  экологии и УФНС России по ЧО на 299,6тыс.рублей;                    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120900000</w:t>
      </w:r>
      <w:r w:rsidRPr="00E77BD5">
        <w:rPr>
          <w:rFonts w:ascii="Times New Roman" w:hAnsi="Times New Roman" w:cs="Times New Roman"/>
          <w:sz w:val="20"/>
          <w:szCs w:val="20"/>
        </w:rPr>
        <w:t xml:space="preserve"> «Расчеты по ущербу и иным доходам» увеличилась на 100,6тыс.рублей;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>130200000</w:t>
      </w:r>
      <w:r w:rsidRPr="00E77BD5">
        <w:rPr>
          <w:rFonts w:ascii="Times New Roman" w:hAnsi="Times New Roman" w:cs="Times New Roman"/>
          <w:sz w:val="20"/>
          <w:szCs w:val="20"/>
        </w:rPr>
        <w:t xml:space="preserve"> «Расчеты по принятым обязательствам» снизилась на 821,4тыс.рублей, в том числе снизилась задолженность за коммунальные услуги на 2170,5тыс.рублей (на 64,3%);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кредиторская задолженность по счету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 xml:space="preserve">130300000 </w:t>
      </w:r>
      <w:r w:rsidRPr="00E77BD5">
        <w:rPr>
          <w:rFonts w:ascii="Times New Roman" w:hAnsi="Times New Roman" w:cs="Times New Roman"/>
          <w:sz w:val="20"/>
          <w:szCs w:val="20"/>
        </w:rPr>
        <w:t>«Расчеты</w:t>
      </w:r>
      <w:r w:rsidRPr="00E77BD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 xml:space="preserve">по прочим платежам в бюджет» </w:t>
      </w:r>
      <w:r w:rsidRPr="00E77BD5">
        <w:rPr>
          <w:rFonts w:ascii="Times New Roman" w:hAnsi="Times New Roman" w:cs="Times New Roman"/>
          <w:sz w:val="20"/>
          <w:szCs w:val="20"/>
        </w:rPr>
        <w:t>снизилась на 28315,0тыс.рублей или на 98,6процентов,  том числе за счет снижения задолженности</w:t>
      </w:r>
      <w:r w:rsidRPr="00E77BD5">
        <w:rPr>
          <w:rFonts w:ascii="Times New Roman" w:hAnsi="Times New Roman" w:cs="Times New Roman"/>
          <w:sz w:val="20"/>
          <w:szCs w:val="20"/>
          <w:lang w:eastAsia="en-US"/>
        </w:rPr>
        <w:t xml:space="preserve"> по платежам в бюджет </w:t>
      </w:r>
      <w:r w:rsidRPr="00E77BD5">
        <w:rPr>
          <w:rFonts w:ascii="Times New Roman" w:hAnsi="Times New Roman" w:cs="Times New Roman"/>
          <w:sz w:val="20"/>
          <w:szCs w:val="20"/>
        </w:rPr>
        <w:t xml:space="preserve"> на 26715,0тыс.рублей.</w:t>
      </w:r>
    </w:p>
    <w:p w:rsidR="00650C7D" w:rsidRPr="00E77BD5" w:rsidRDefault="00650C7D" w:rsidP="00650C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7BD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77BD5">
        <w:rPr>
          <w:rFonts w:ascii="Times New Roman" w:hAnsi="Times New Roman" w:cs="Times New Roman"/>
          <w:b/>
          <w:i/>
          <w:sz w:val="20"/>
          <w:szCs w:val="20"/>
          <w:u w:val="single"/>
        </w:rPr>
        <w:t>Резервный фонд администрации Карталинского муниципального района</w:t>
      </w:r>
    </w:p>
    <w:p w:rsidR="00650C7D" w:rsidRPr="00E77BD5" w:rsidRDefault="00650C7D" w:rsidP="00E77B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 Решением Собрания депутатов КМР 23.12.2021 № 220 резервный фонд администрации Карталинского муниципального района утвержден в размере 3000,0тыс.рублей, что составляет 0,1процент от утвержденных ассигнований по расходам бюджета и не превышает показатель, установленный статьей 81 БК РФ (не более 3процентов общего объема расходов бюджета). В соответствии с распоряжениями администрации Карталинского муниципального района от 16.03.2022 №132-р, от 12.05.2022 №268-р, от 23.05.2022 №321-р, от 09.06.2022 №383-р, от 23.06.2022 №424-р, от 09.08.2022 №548-р, от 04.10.2022 №721-р, от 11.10.2022 №732-р, от 17.10.2022 №755-р, от 31.10.2022 №795-р, от 02.11.2022 №812-р, от 30.11.2022 №902-р, от 19.12.2022 №980-р,  главным распорядителям бюджетных средств выделено -1303,3тыс.рублей, израсходовано -1142,7тыс.рублей, в том числе:</w:t>
      </w:r>
    </w:p>
    <w:p w:rsidR="00650C7D" w:rsidRPr="00E77BD5" w:rsidRDefault="00650C7D" w:rsidP="00E77B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на оплату услуг по организации похорон военнослужащих, лиц, проходивших службу в войсках Национальной гвардии РФ и имевших специальное звание полиции, погибших в результате участия в специальной военной операции на территории ДНР, ЛНР и Украины;</w:t>
      </w:r>
    </w:p>
    <w:p w:rsidR="00650C7D" w:rsidRPr="00E77BD5" w:rsidRDefault="00650C7D" w:rsidP="00E77B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на оказание материальной помощи членам семей военнослужащих, лиц, проходивших службу в войсках Национальной гвардии РФ и имевших специальное звание полиции, погибших в результате участия в специальной военной операции на территории ДНР, ЛНР и Украины;</w:t>
      </w:r>
    </w:p>
    <w:p w:rsidR="00650C7D" w:rsidRPr="00E77BD5" w:rsidRDefault="00650C7D" w:rsidP="00E77B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на представительские расходы;</w:t>
      </w:r>
    </w:p>
    <w:p w:rsidR="00650C7D" w:rsidRPr="00E77BD5" w:rsidRDefault="00650C7D" w:rsidP="00E77B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- на оплату услуг питания участников митинг-концерта, проходившего в городе Челябинске в поддержку инициативы проведения референдумов в ДНР, ЛНР, Херсонской и Запорожской областях.</w:t>
      </w:r>
    </w:p>
    <w:p w:rsidR="00650C7D" w:rsidRPr="00E77BD5" w:rsidRDefault="00650C7D" w:rsidP="00E77B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Из выделенных средств неиспользованный остаток средств резервного фонда на 01.01.2023 года составил 160,6 тыс. рублей. Нераспределенные средства резервного фонда составили на 01.01.2023года- 1696,7тыс.рублей.</w:t>
      </w:r>
    </w:p>
    <w:p w:rsidR="005F55C8" w:rsidRPr="00E77BD5" w:rsidRDefault="005F55C8" w:rsidP="00E77B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Мотивированное обоснование принятия решения:</w:t>
      </w:r>
    </w:p>
    <w:p w:rsidR="00E77BD5" w:rsidRPr="00E77BD5" w:rsidRDefault="00E77BD5" w:rsidP="00E77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  <w:lang w:eastAsia="ar-SA"/>
        </w:rPr>
        <w:t xml:space="preserve"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(ГАБС) и подготовку заключения на годовой отчет об исполнении бюджета. </w:t>
      </w:r>
      <w:r w:rsidRPr="00E77BD5">
        <w:rPr>
          <w:rFonts w:ascii="Times New Roman" w:hAnsi="Times New Roman" w:cs="Times New Roman"/>
          <w:sz w:val="20"/>
          <w:szCs w:val="20"/>
        </w:rPr>
        <w:t xml:space="preserve">Руководствуясь статьей 264.4 Бюджетного кодекса РФ, статьей 8 Положения о Контрольно-счетной палате Карталинского муниципального района, статьей 46 Положения «О бюджетном процессе в Карталинском муниципальном районе», пунктом 11.1 Приказа №191н Контрольно-счетной палатой проведена внешняя проверка бюджетной отчетности 9 Главных администраторов бюджетных средств района за 2022год. </w:t>
      </w:r>
    </w:p>
    <w:p w:rsidR="00E77BD5" w:rsidRPr="00E77BD5" w:rsidRDefault="00E77BD5" w:rsidP="00E77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     По результатам проверки установлено:</w:t>
      </w:r>
    </w:p>
    <w:p w:rsidR="00E77BD5" w:rsidRPr="00E77BD5" w:rsidRDefault="00E77BD5" w:rsidP="00E77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- бюджетная отчетность ГАБС за 2022год представлена для проверки в полном объеме и в установленные сроки (</w:t>
      </w:r>
      <w:r w:rsidRPr="00E77BD5">
        <w:rPr>
          <w:rFonts w:ascii="Times New Roman" w:hAnsi="Times New Roman" w:cs="Times New Roman"/>
          <w:color w:val="000000"/>
          <w:sz w:val="20"/>
          <w:szCs w:val="20"/>
        </w:rPr>
        <w:t>не позднее 10 марта текущего финансового года</w:t>
      </w:r>
      <w:r w:rsidRPr="00E77BD5">
        <w:rPr>
          <w:rFonts w:ascii="Times New Roman" w:hAnsi="Times New Roman" w:cs="Times New Roman"/>
          <w:sz w:val="20"/>
          <w:szCs w:val="20"/>
        </w:rPr>
        <w:t xml:space="preserve">), что соответствует требованиям статьи 264.1 Бюджетного кодекса РФ, статьи 46 Положения «О бюджетном процессе в Карталинском </w:t>
      </w:r>
    </w:p>
    <w:p w:rsidR="00E77BD5" w:rsidRPr="00E77BD5" w:rsidRDefault="00E77BD5" w:rsidP="00E77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- неэффективно использованы бюджетные средства  по 4 ГАБС в размере 327,6тыс.рублей (на 01.01.2022 -460,6тыс.рублей) на уплату штрафных санкций за несвоевременное перечисление налогов; административных штрафов; возмещение судебных расходов и издержек по исполнительным листам (Управление образования КМР, Управление по имущественной и земельной политике КМР, Управление строительства, инфраструктуры и ЖКХ КМР, Администрация КМР); </w:t>
      </w:r>
    </w:p>
    <w:p w:rsidR="00E77BD5" w:rsidRPr="00E77BD5" w:rsidRDefault="00E77BD5" w:rsidP="00E77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BD5">
        <w:rPr>
          <w:rFonts w:ascii="Times New Roman" w:hAnsi="Times New Roman" w:cs="Times New Roman"/>
          <w:color w:val="000000"/>
          <w:sz w:val="20"/>
          <w:szCs w:val="20"/>
        </w:rPr>
        <w:t xml:space="preserve">- приняты бюджетные обязательства сверх утвержденных лимитов в размере 1419,4тыс.рублей по 1 ГАБС (Управление образования КМР); </w:t>
      </w:r>
    </w:p>
    <w:p w:rsidR="00E77BD5" w:rsidRPr="00E77BD5" w:rsidRDefault="00E77BD5" w:rsidP="00E77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BD5">
        <w:rPr>
          <w:rFonts w:ascii="Times New Roman" w:hAnsi="Times New Roman" w:cs="Times New Roman"/>
          <w:color w:val="000000"/>
          <w:sz w:val="20"/>
          <w:szCs w:val="20"/>
        </w:rPr>
        <w:t>- дебиторская и кредиторская задолженности по 2 ГАБС не в полном объеме подтверждены актами сверок, что указывает на формальное проведение инвентаризации расчетов и повлекло недостоверность показателей в отдельных формах отчетности (</w:t>
      </w:r>
      <w:r w:rsidRPr="00E77BD5">
        <w:rPr>
          <w:rFonts w:ascii="Times New Roman" w:hAnsi="Times New Roman" w:cs="Times New Roman"/>
          <w:sz w:val="20"/>
          <w:szCs w:val="20"/>
        </w:rPr>
        <w:t>Управление по имущественной и земельной политике КМР, Управление строительства, инфраструктуры и ЖКХ КМР)</w:t>
      </w:r>
      <w:r w:rsidRPr="00E77BD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77BD5" w:rsidRPr="00E77BD5" w:rsidRDefault="00E77BD5" w:rsidP="00E7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77BD5">
        <w:rPr>
          <w:rFonts w:ascii="Times New Roman" w:hAnsi="Times New Roman" w:cs="Times New Roman"/>
          <w:color w:val="000000"/>
          <w:sz w:val="20"/>
          <w:szCs w:val="20"/>
        </w:rPr>
        <w:t>- ф</w:t>
      </w:r>
      <w:r w:rsidRPr="00E77BD5">
        <w:rPr>
          <w:rFonts w:ascii="Times New Roman" w:hAnsi="Times New Roman" w:cs="Times New Roman"/>
          <w:iCs/>
          <w:sz w:val="20"/>
          <w:szCs w:val="20"/>
        </w:rPr>
        <w:t>акты хозяйственной жизни отражены в бухгалтерском учете по несоответствующим КБК, недостоверность отчетных данных</w:t>
      </w:r>
      <w:r w:rsidRPr="00E77BD5">
        <w:rPr>
          <w:rFonts w:ascii="Times New Roman" w:hAnsi="Times New Roman" w:cs="Times New Roman"/>
          <w:color w:val="000000"/>
          <w:sz w:val="20"/>
          <w:szCs w:val="20"/>
        </w:rPr>
        <w:t xml:space="preserve"> на общую сумму 2393,9тыс.рублей;</w:t>
      </w:r>
    </w:p>
    <w:p w:rsidR="00E77BD5" w:rsidRPr="00E77BD5" w:rsidRDefault="00E77BD5" w:rsidP="00E77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BD5">
        <w:rPr>
          <w:rFonts w:ascii="Times New Roman" w:hAnsi="Times New Roman" w:cs="Times New Roman"/>
          <w:color w:val="000000"/>
          <w:sz w:val="20"/>
          <w:szCs w:val="20"/>
        </w:rPr>
        <w:t xml:space="preserve">- объекты системы газоснабжения в количестве 6единиц  необоснованно учитываются в составе объектов незавершенного строительства, поскольку их строительство закончено в период 2015-2018годов, эксплуатируются, но не прошли госрегистрацию.  </w:t>
      </w:r>
    </w:p>
    <w:p w:rsidR="00E77BD5" w:rsidRPr="00E77BD5" w:rsidRDefault="00E77BD5" w:rsidP="00E77BD5">
      <w:pPr>
        <w:pStyle w:val="af1"/>
        <w:ind w:firstLine="567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lastRenderedPageBreak/>
        <w:t xml:space="preserve">Отчет об исполнении бюджета за 2022 год представлен администрацией КМР в Контрольно-счетную палату с соблюдением срока, установленного Бюджетным кодексом РФ и Положением о бюджетном процессе. </w:t>
      </w:r>
    </w:p>
    <w:p w:rsidR="00E77BD5" w:rsidRPr="00E77BD5" w:rsidRDefault="00E77BD5" w:rsidP="00E77BD5">
      <w:pPr>
        <w:pStyle w:val="af1"/>
        <w:ind w:firstLine="567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 xml:space="preserve">Представленный к внешней проверке Годовой отчет об исполнении районного бюджета за 2022год сформирован Финансовым управлением с учетом требований нормативных правовых актов, регламентирующих порядок составления и представления отчетности об исполнении бюджетов бюджетной системы Российской Федерации. </w:t>
      </w:r>
    </w:p>
    <w:p w:rsidR="00E77BD5" w:rsidRPr="00E77BD5" w:rsidRDefault="00E77BD5" w:rsidP="00E77BD5">
      <w:pPr>
        <w:pStyle w:val="af1"/>
        <w:ind w:firstLine="567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>Согласно отчету об исполнении бюджета района за 2022 год основные показатели бюджета района исполнены:</w:t>
      </w:r>
    </w:p>
    <w:p w:rsidR="00E77BD5" w:rsidRPr="00E77BD5" w:rsidRDefault="00E77BD5" w:rsidP="00E77BD5">
      <w:pPr>
        <w:pStyle w:val="af1"/>
        <w:ind w:firstLine="567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 xml:space="preserve"> - по доходам в сумме 2259587,5 тыс. рублей или 99,0процентов к плановым показателям;</w:t>
      </w:r>
    </w:p>
    <w:p w:rsidR="00E77BD5" w:rsidRPr="00E77BD5" w:rsidRDefault="00E77BD5" w:rsidP="00E77BD5">
      <w:pPr>
        <w:pStyle w:val="af1"/>
        <w:ind w:firstLine="567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 xml:space="preserve"> - по расходам в сумме 2317135,6тыс. рублей или 96,4процентов к утверждённым бюджетным назначениям;</w:t>
      </w:r>
    </w:p>
    <w:p w:rsidR="00E77BD5" w:rsidRPr="00E77BD5" w:rsidRDefault="00E77BD5" w:rsidP="00E77BD5">
      <w:pPr>
        <w:pStyle w:val="af1"/>
        <w:ind w:firstLine="567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 xml:space="preserve"> - дефицит бюджета района составил 57548,0 тыс. рублей.       </w:t>
      </w:r>
    </w:p>
    <w:p w:rsidR="00E77BD5" w:rsidRPr="00E77BD5" w:rsidRDefault="00E77BD5" w:rsidP="00E77BD5">
      <w:pPr>
        <w:pStyle w:val="af1"/>
        <w:ind w:firstLine="567"/>
        <w:jc w:val="both"/>
        <w:rPr>
          <w:rFonts w:ascii="Times New Roman" w:hAnsi="Times New Roman"/>
          <w:sz w:val="20"/>
          <w:szCs w:val="20"/>
        </w:rPr>
      </w:pPr>
      <w:r w:rsidRPr="00E77BD5">
        <w:rPr>
          <w:rFonts w:ascii="Times New Roman" w:hAnsi="Times New Roman"/>
          <w:sz w:val="20"/>
          <w:szCs w:val="20"/>
        </w:rPr>
        <w:t>Бюджет района сформирован и исполнен в 2022 году в программной структуре расходов. В целом на реализацию 39 муниципальных программ направлено 2187105,7тыс.рублей тыс. рублей или 94,4% расходов бюджета района.</w:t>
      </w:r>
    </w:p>
    <w:p w:rsidR="00E77BD5" w:rsidRPr="00E77BD5" w:rsidRDefault="00E77BD5" w:rsidP="00E77B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Из резервного фонда Администрации Карталинского муниципального района в 2022 году произведены расходы на финансирование непредвиденных расходов в сумме -1303,3тыс.рублей, фактически израсходовано -1142,7тыс.рублей.</w:t>
      </w:r>
    </w:p>
    <w:p w:rsidR="00E77BD5" w:rsidRPr="00E77BD5" w:rsidRDefault="00E77BD5" w:rsidP="00E77B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Проект решения Собрания депутатов Карталинского муниципального района «Об исполнении бюджета Карталинского муниципального района за 2022 год» и приложения к нему по перечню, установленному статьёй 264.6 Бюджетного кодекса РФ, соответствуют показателям годового отчета об исполнении бюджета муниципального образования «Карталинский муниципальный район» за 2022год, представленного в Контрольно-счетную палату для внешней проверки.</w:t>
      </w:r>
    </w:p>
    <w:p w:rsidR="00E77BD5" w:rsidRPr="00E77BD5" w:rsidRDefault="00E77BD5" w:rsidP="00E77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Показатели Годового отчета подтверждаются данными бюджетной отчетности главных администраторов бюджетных средств, проведенной экспертизой достоверность отчета об исполнении бюджета за 2022 год подтверждена.</w:t>
      </w:r>
    </w:p>
    <w:p w:rsidR="005F55C8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С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Собранию депутатов Карталинского муниципального района:</w:t>
      </w:r>
    </w:p>
    <w:p w:rsidR="005F55C8" w:rsidRPr="00E77BD5" w:rsidRDefault="005F55C8" w:rsidP="000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1. Рассмотреть проект решения Собрания депутатов Карталинского муниципального района</w:t>
      </w:r>
      <w:r w:rsidR="00AB3677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«Об исполнении бюджета Карталинского муниципального района</w:t>
      </w:r>
      <w:r w:rsidR="00304DAA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за 20</w:t>
      </w:r>
      <w:r w:rsidR="007F3DC3" w:rsidRPr="00E77BD5">
        <w:rPr>
          <w:rFonts w:ascii="Times New Roman" w:hAnsi="Times New Roman" w:cs="Times New Roman"/>
          <w:sz w:val="20"/>
          <w:szCs w:val="20"/>
        </w:rPr>
        <w:t>2</w:t>
      </w:r>
      <w:r w:rsidR="001C407F" w:rsidRPr="00E77BD5">
        <w:rPr>
          <w:rFonts w:ascii="Times New Roman" w:hAnsi="Times New Roman" w:cs="Times New Roman"/>
          <w:sz w:val="20"/>
          <w:szCs w:val="20"/>
        </w:rPr>
        <w:t>2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год»</w:t>
      </w:r>
      <w:r w:rsidR="00AB3677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и утвердить</w:t>
      </w:r>
      <w:r w:rsidR="00AB3677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Pr="00E77BD5">
        <w:rPr>
          <w:rFonts w:ascii="Times New Roman" w:hAnsi="Times New Roman" w:cs="Times New Roman"/>
          <w:sz w:val="20"/>
          <w:szCs w:val="20"/>
        </w:rPr>
        <w:t>отчет об исполнении бюджета Карталинского муниципального района за 20</w:t>
      </w:r>
      <w:r w:rsidR="007F3DC3" w:rsidRPr="00E77BD5">
        <w:rPr>
          <w:rFonts w:ascii="Times New Roman" w:hAnsi="Times New Roman" w:cs="Times New Roman"/>
          <w:sz w:val="20"/>
          <w:szCs w:val="20"/>
        </w:rPr>
        <w:t>2</w:t>
      </w:r>
      <w:r w:rsidR="001C407F" w:rsidRPr="00E77BD5">
        <w:rPr>
          <w:rFonts w:ascii="Times New Roman" w:hAnsi="Times New Roman" w:cs="Times New Roman"/>
          <w:sz w:val="20"/>
          <w:szCs w:val="20"/>
        </w:rPr>
        <w:t>2</w:t>
      </w:r>
      <w:r w:rsidRPr="00E77BD5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7F3DC3" w:rsidRPr="00E77BD5" w:rsidRDefault="007F3DC3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 xml:space="preserve">Главе Карталинского муниципального района: </w:t>
      </w:r>
    </w:p>
    <w:p w:rsidR="007F3DC3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1. Продолжить работу в рамках деятельности рабочей группы, созданной постановлением администрации Карталинского муниципального района от 22.01.2021 года №19 по обеспечению полноты и своевременности поступлений налогов, сборов в районный бюджет, по сокращению задолженности организаций по налогам и сборам в районный бюджет.</w:t>
      </w:r>
    </w:p>
    <w:p w:rsidR="007F3DC3" w:rsidRPr="00E77BD5" w:rsidRDefault="007F3DC3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Главным администраторам доходов районного бюджета: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1. Усилить меры по неналоговым поступлениям в бюджет района путем сокращения дебиторской задолженности, получения дохода от распоряжения муниципальным имуществом (аренда, продажа), эффективного управления арендными отношениями муниципальной собственности.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2. Принять меры: 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1) по исполнению в полном объеме полномочий главного администратора доходов бюджета в части обеспечения поступления сумм по закрепленным видам доходов;</w:t>
      </w:r>
    </w:p>
    <w:p w:rsidR="007F3DC3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2) по сокращению задолженности по неналоговым платежам и мобилизации за счет этого дополнительных доходных источников бюджета района.</w:t>
      </w:r>
    </w:p>
    <w:p w:rsidR="007F3DC3" w:rsidRPr="00E77BD5" w:rsidRDefault="007F3DC3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7BD5">
        <w:rPr>
          <w:rFonts w:ascii="Times New Roman" w:hAnsi="Times New Roman" w:cs="Times New Roman"/>
          <w:i/>
          <w:sz w:val="20"/>
          <w:szCs w:val="20"/>
        </w:rPr>
        <w:t>Главным распорядителям бюджетных средств: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1. Исключить: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1) принятие бюджетных обязательств в размерах, превышающих утвержденные лимиты бюджетных обязательств;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2) факты неэффективного использования бюджетных средств.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2. Обеспечить: 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1) полное освоение межбюджетных трансфертов;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2) результативность использования средств бюджета района при формировании и исполнении муниципальных программ, усилить ведомственный контроль с целью достижения эффективного использования бюджетных средств.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3. Активизировать работу, направленную на сокращение объемов и количества незавершенного строительства.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4. Обеспечить эффективное и своевременное использование средств бюджета, в том числе полное освоение средств по федеральным, региональным, муниципальным программам.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5. Не допускать рост дебиторской задолженности.</w:t>
      </w:r>
    </w:p>
    <w:p w:rsidR="001C407F" w:rsidRPr="00E77BD5" w:rsidRDefault="001C407F" w:rsidP="000F4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6. Усилить контроль за использованием средств субсидий подведомственными бюджетными учреждениями.</w:t>
      </w:r>
    </w:p>
    <w:p w:rsidR="00304DAA" w:rsidRPr="00E77BD5" w:rsidRDefault="001C407F" w:rsidP="000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7. Принять меры по оперативному устранению выявленных Контрольно-счетной палатой нарушений и недопущению их впредь.</w:t>
      </w:r>
    </w:p>
    <w:p w:rsidR="007F3DC3" w:rsidRDefault="007F3DC3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E60FA" w:rsidRPr="00E77BD5" w:rsidRDefault="00AE60FA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C407F" w:rsidRPr="00E77BD5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Председатель оргкомитета </w:t>
      </w:r>
      <w:r w:rsidR="007354A5" w:rsidRPr="00E77BD5"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E77BD5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C32E87" w:rsidRPr="00E77BD5">
        <w:rPr>
          <w:rFonts w:ascii="Times New Roman" w:hAnsi="Times New Roman" w:cs="Times New Roman"/>
          <w:sz w:val="20"/>
          <w:szCs w:val="20"/>
        </w:rPr>
        <w:t xml:space="preserve"> </w:t>
      </w:r>
      <w:r w:rsidR="00532AA1" w:rsidRPr="00E77BD5">
        <w:rPr>
          <w:rFonts w:ascii="Times New Roman" w:hAnsi="Times New Roman" w:cs="Times New Roman"/>
          <w:sz w:val="20"/>
          <w:szCs w:val="20"/>
        </w:rPr>
        <w:t>Е.Н. Слинкин</w:t>
      </w:r>
    </w:p>
    <w:p w:rsidR="005F55C8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0FA" w:rsidRPr="00E77BD5" w:rsidRDefault="00AE60FA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F16D9" w:rsidRPr="00E77BD5" w:rsidRDefault="005F55C8" w:rsidP="004F29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7BD5">
        <w:rPr>
          <w:rFonts w:ascii="Times New Roman" w:hAnsi="Times New Roman" w:cs="Times New Roman"/>
          <w:sz w:val="20"/>
          <w:szCs w:val="20"/>
        </w:rPr>
        <w:t>Секретарь оргкомитета                               ___________________ М. Ф. Бакатнюк</w:t>
      </w:r>
    </w:p>
    <w:sectPr w:rsidR="00BF16D9" w:rsidRPr="00E77BD5" w:rsidSect="004F2972">
      <w:pgSz w:w="11900" w:h="16800"/>
      <w:pgMar w:top="376" w:right="418" w:bottom="284" w:left="1418" w:header="142" w:footer="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AC" w:rsidRDefault="000317AC" w:rsidP="007354A5">
      <w:pPr>
        <w:spacing w:after="0" w:line="240" w:lineRule="auto"/>
      </w:pPr>
      <w:r>
        <w:separator/>
      </w:r>
    </w:p>
  </w:endnote>
  <w:endnote w:type="continuationSeparator" w:id="1">
    <w:p w:rsidR="000317AC" w:rsidRDefault="000317AC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AC" w:rsidRDefault="000317AC" w:rsidP="007354A5">
      <w:pPr>
        <w:spacing w:after="0" w:line="240" w:lineRule="auto"/>
      </w:pPr>
      <w:r>
        <w:separator/>
      </w:r>
    </w:p>
  </w:footnote>
  <w:footnote w:type="continuationSeparator" w:id="1">
    <w:p w:rsidR="000317AC" w:rsidRDefault="000317AC" w:rsidP="0073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2F"/>
    <w:multiLevelType w:val="hybridMultilevel"/>
    <w:tmpl w:val="FEA8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DE8"/>
    <w:multiLevelType w:val="hybridMultilevel"/>
    <w:tmpl w:val="09CC2B08"/>
    <w:lvl w:ilvl="0" w:tplc="2BD01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0247A13"/>
    <w:multiLevelType w:val="hybridMultilevel"/>
    <w:tmpl w:val="7A104C22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703FF"/>
    <w:multiLevelType w:val="hybridMultilevel"/>
    <w:tmpl w:val="E064D624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E0337"/>
    <w:multiLevelType w:val="hybridMultilevel"/>
    <w:tmpl w:val="55565804"/>
    <w:lvl w:ilvl="0" w:tplc="225A5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F7D44"/>
    <w:multiLevelType w:val="hybridMultilevel"/>
    <w:tmpl w:val="D27C9158"/>
    <w:lvl w:ilvl="0" w:tplc="73C829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5409D0"/>
    <w:multiLevelType w:val="hybridMultilevel"/>
    <w:tmpl w:val="76228412"/>
    <w:lvl w:ilvl="0" w:tplc="4AD097C2">
      <w:start w:val="1"/>
      <w:numFmt w:val="decimal"/>
      <w:lvlText w:val="%1."/>
      <w:lvlJc w:val="left"/>
      <w:pPr>
        <w:ind w:left="984" w:hanging="552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A8D60B5"/>
    <w:multiLevelType w:val="hybridMultilevel"/>
    <w:tmpl w:val="29447B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65A49"/>
    <w:multiLevelType w:val="hybridMultilevel"/>
    <w:tmpl w:val="C5EA4224"/>
    <w:lvl w:ilvl="0" w:tplc="1C46312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76436"/>
    <w:multiLevelType w:val="hybridMultilevel"/>
    <w:tmpl w:val="1D0CB87E"/>
    <w:lvl w:ilvl="0" w:tplc="3EBC0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4D4CC2"/>
    <w:multiLevelType w:val="hybridMultilevel"/>
    <w:tmpl w:val="1C564E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CCC"/>
    <w:multiLevelType w:val="hybridMultilevel"/>
    <w:tmpl w:val="81A8897E"/>
    <w:lvl w:ilvl="0" w:tplc="1DF480B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D3923D1"/>
    <w:multiLevelType w:val="hybridMultilevel"/>
    <w:tmpl w:val="AE10434E"/>
    <w:lvl w:ilvl="0" w:tplc="65E67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A12F4E"/>
    <w:multiLevelType w:val="hybridMultilevel"/>
    <w:tmpl w:val="514C3FFC"/>
    <w:lvl w:ilvl="0" w:tplc="19481CFC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9F22850"/>
    <w:multiLevelType w:val="hybridMultilevel"/>
    <w:tmpl w:val="8A60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A470B"/>
    <w:multiLevelType w:val="hybridMultilevel"/>
    <w:tmpl w:val="85F2027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B821A2"/>
    <w:multiLevelType w:val="hybridMultilevel"/>
    <w:tmpl w:val="2F900A40"/>
    <w:lvl w:ilvl="0" w:tplc="3AC2917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E380B53"/>
    <w:multiLevelType w:val="hybridMultilevel"/>
    <w:tmpl w:val="D6C4B940"/>
    <w:lvl w:ilvl="0" w:tplc="A07E80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0198B"/>
    <w:rsid w:val="00007189"/>
    <w:rsid w:val="000317AC"/>
    <w:rsid w:val="00035DE2"/>
    <w:rsid w:val="00081092"/>
    <w:rsid w:val="000841FB"/>
    <w:rsid w:val="000C0E10"/>
    <w:rsid w:val="000D0052"/>
    <w:rsid w:val="000D1FD7"/>
    <w:rsid w:val="000F43F8"/>
    <w:rsid w:val="00176D8A"/>
    <w:rsid w:val="001C407F"/>
    <w:rsid w:val="001C6C4F"/>
    <w:rsid w:val="0020230A"/>
    <w:rsid w:val="002478F1"/>
    <w:rsid w:val="00256234"/>
    <w:rsid w:val="00272589"/>
    <w:rsid w:val="002775D4"/>
    <w:rsid w:val="0028421C"/>
    <w:rsid w:val="002F3145"/>
    <w:rsid w:val="00304DAA"/>
    <w:rsid w:val="00311C33"/>
    <w:rsid w:val="00330EEE"/>
    <w:rsid w:val="003472C1"/>
    <w:rsid w:val="0037691D"/>
    <w:rsid w:val="00383D4B"/>
    <w:rsid w:val="003B508F"/>
    <w:rsid w:val="003C1CEA"/>
    <w:rsid w:val="004418E6"/>
    <w:rsid w:val="00475D3A"/>
    <w:rsid w:val="004A5089"/>
    <w:rsid w:val="004D4396"/>
    <w:rsid w:val="004F2972"/>
    <w:rsid w:val="00505614"/>
    <w:rsid w:val="00517AE0"/>
    <w:rsid w:val="00532AA1"/>
    <w:rsid w:val="005E40E2"/>
    <w:rsid w:val="005F55C8"/>
    <w:rsid w:val="00614378"/>
    <w:rsid w:val="00630CE6"/>
    <w:rsid w:val="00634112"/>
    <w:rsid w:val="006470DD"/>
    <w:rsid w:val="00650C7D"/>
    <w:rsid w:val="006B38D3"/>
    <w:rsid w:val="006D035C"/>
    <w:rsid w:val="006E24BD"/>
    <w:rsid w:val="0072071A"/>
    <w:rsid w:val="007354A5"/>
    <w:rsid w:val="00737C92"/>
    <w:rsid w:val="007568F3"/>
    <w:rsid w:val="007A43EC"/>
    <w:rsid w:val="007D096A"/>
    <w:rsid w:val="007D7EFC"/>
    <w:rsid w:val="007F3DC3"/>
    <w:rsid w:val="008330A9"/>
    <w:rsid w:val="008B4901"/>
    <w:rsid w:val="008F61D2"/>
    <w:rsid w:val="009668DB"/>
    <w:rsid w:val="00970408"/>
    <w:rsid w:val="00A1249D"/>
    <w:rsid w:val="00A62834"/>
    <w:rsid w:val="00AB3677"/>
    <w:rsid w:val="00AE2921"/>
    <w:rsid w:val="00AE60FA"/>
    <w:rsid w:val="00B10965"/>
    <w:rsid w:val="00B86AD8"/>
    <w:rsid w:val="00BA0CC0"/>
    <w:rsid w:val="00BC045D"/>
    <w:rsid w:val="00BC4052"/>
    <w:rsid w:val="00BD67C0"/>
    <w:rsid w:val="00BF16D9"/>
    <w:rsid w:val="00C32AF4"/>
    <w:rsid w:val="00C32E34"/>
    <w:rsid w:val="00C32E87"/>
    <w:rsid w:val="00C47B2C"/>
    <w:rsid w:val="00CC74CA"/>
    <w:rsid w:val="00D31B5B"/>
    <w:rsid w:val="00D936C3"/>
    <w:rsid w:val="00DE0B2A"/>
    <w:rsid w:val="00E634F3"/>
    <w:rsid w:val="00E77BD5"/>
    <w:rsid w:val="00EA2222"/>
    <w:rsid w:val="00EC1262"/>
    <w:rsid w:val="00ED747D"/>
    <w:rsid w:val="00F0474D"/>
    <w:rsid w:val="00F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rsid w:val="007354A5"/>
    <w:rPr>
      <w:vertAlign w:val="superscript"/>
    </w:rPr>
  </w:style>
  <w:style w:type="paragraph" w:styleId="a7">
    <w:name w:val="Normal (Web)"/>
    <w:basedOn w:val="a"/>
    <w:unhideWhenUsed/>
    <w:rsid w:val="00BF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83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83D4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383D4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383D4B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2">
    <w:name w:val="Основной текст 22"/>
    <w:basedOn w:val="a"/>
    <w:rsid w:val="004418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b">
    <w:name w:val="Emphasis"/>
    <w:qFormat/>
    <w:rsid w:val="0000198B"/>
    <w:rPr>
      <w:i/>
      <w:iCs/>
    </w:rPr>
  </w:style>
  <w:style w:type="character" w:styleId="ac">
    <w:name w:val="Hyperlink"/>
    <w:rsid w:val="00081092"/>
    <w:rPr>
      <w:color w:val="0563C1"/>
      <w:u w:val="single"/>
    </w:rPr>
  </w:style>
  <w:style w:type="paragraph" w:styleId="ad">
    <w:name w:val="header"/>
    <w:basedOn w:val="a"/>
    <w:link w:val="ae"/>
    <w:unhideWhenUsed/>
    <w:rsid w:val="004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4D4396"/>
  </w:style>
  <w:style w:type="paragraph" w:styleId="af">
    <w:name w:val="footer"/>
    <w:basedOn w:val="a"/>
    <w:link w:val="af0"/>
    <w:unhideWhenUsed/>
    <w:rsid w:val="004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396"/>
  </w:style>
  <w:style w:type="paragraph" w:styleId="af1">
    <w:name w:val="No Spacing"/>
    <w:uiPriority w:val="1"/>
    <w:qFormat/>
    <w:rsid w:val="00650C7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650C7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50C7D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page number"/>
    <w:basedOn w:val="a0"/>
    <w:rsid w:val="00650C7D"/>
  </w:style>
  <w:style w:type="table" w:styleId="af3">
    <w:name w:val="Table Grid"/>
    <w:basedOn w:val="a1"/>
    <w:rsid w:val="0065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3"/>
    <w:rsid w:val="00650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1"/>
    <w:rsid w:val="00650C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0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650C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650C7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0C7D"/>
    <w:pPr>
      <w:widowControl w:val="0"/>
      <w:shd w:val="clear" w:color="auto" w:fill="FFFFFF"/>
      <w:spacing w:after="0" w:line="322" w:lineRule="exact"/>
      <w:ind w:hanging="300"/>
      <w:jc w:val="both"/>
    </w:pPr>
    <w:rPr>
      <w:sz w:val="28"/>
      <w:szCs w:val="28"/>
    </w:rPr>
  </w:style>
  <w:style w:type="character" w:customStyle="1" w:styleId="blk">
    <w:name w:val="blk"/>
    <w:basedOn w:val="a0"/>
    <w:rsid w:val="0065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037E18AAD4109A71957AA26E8228441E4691CD6CCE4F9189697983936A21D5E0D302F1102u5r9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6481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2023-04-28T05:28:00Z</cp:lastPrinted>
  <dcterms:created xsi:type="dcterms:W3CDTF">2017-05-03T05:57:00Z</dcterms:created>
  <dcterms:modified xsi:type="dcterms:W3CDTF">2023-04-28T05:28:00Z</dcterms:modified>
</cp:coreProperties>
</file>